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3802"/>
        <w:gridCol w:w="2269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944F158" w:rsidR="0067700B" w:rsidRPr="00A4119F" w:rsidRDefault="00C316BB">
            <w:r>
              <w:t>Modificación en imputación de facturas y modificación al generar Solpeds y OCs.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58CB014A" w:rsidR="0067700B" w:rsidRPr="00A4119F" w:rsidRDefault="00955320">
            <w:r w:rsidRPr="00A4119F">
              <w:t xml:space="preserve">Ivo Landa / </w:t>
            </w:r>
            <w:r w:rsidR="00E214E6" w:rsidRPr="00A4119F">
              <w:t>Yizlace Uzcategui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D17E6B1" w:rsidR="0067700B" w:rsidRPr="00A4119F" w:rsidRDefault="00955320">
            <w:r w:rsidRPr="00A4119F">
              <w:t>yizlace.uzcategui</w:t>
            </w:r>
            <w:r w:rsidR="00397B76"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400C63DE" w:rsidR="0067700B" w:rsidRPr="00A4119F" w:rsidRDefault="007D617B" w:rsidP="00E47B3A">
            <w:pPr>
              <w:jc w:val="left"/>
            </w:pPr>
            <w:r w:rsidRPr="00A4119F">
              <w:rPr>
                <w:rFonts w:ascii="Arial" w:hAnsi="Arial"/>
                <w:b/>
                <w:sz w:val="16"/>
              </w:rPr>
              <w:t>T</w:t>
            </w:r>
            <w:r w:rsidR="00A4119F">
              <w:rPr>
                <w:rFonts w:ascii="Arial" w:hAnsi="Arial"/>
                <w:b/>
                <w:sz w:val="16"/>
              </w:rPr>
              <w:t>z</w:t>
            </w:r>
            <w:r w:rsidR="006F3404" w:rsidRPr="00A4119F">
              <w:rPr>
                <w:rFonts w:ascii="Arial" w:hAnsi="Arial"/>
                <w:b/>
                <w:sz w:val="16"/>
              </w:rPr>
              <w:t>.</w:t>
            </w:r>
            <w:r w:rsidR="006F3404" w:rsidRPr="00A4119F">
              <w:t xml:space="preserve"> </w:t>
            </w:r>
            <w:r w:rsidR="003E6A14" w:rsidRPr="00A4119F">
              <w:rPr>
                <w:rFonts w:ascii="Arial" w:hAnsi="Arial"/>
                <w:b/>
                <w:sz w:val="16"/>
              </w:rPr>
              <w:t>3</w:t>
            </w:r>
            <w:r w:rsidR="00C316BB">
              <w:rPr>
                <w:rFonts w:ascii="Arial" w:hAnsi="Arial"/>
                <w:b/>
                <w:sz w:val="16"/>
              </w:rPr>
              <w:t>02396 - 318336</w:t>
            </w: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4B288D5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97B76" w:rsidRPr="00A4119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F751B7E" w:rsidR="0067700B" w:rsidRPr="00A4119F" w:rsidRDefault="00E85E7B">
            <w:r>
              <w:t>2</w:t>
            </w:r>
            <w:r w:rsidR="005F0267">
              <w:t>8</w:t>
            </w:r>
            <w:r w:rsidR="007626F5" w:rsidRPr="00A4119F">
              <w:t>-</w:t>
            </w:r>
            <w:r w:rsidR="003E6A14" w:rsidRPr="00A4119F">
              <w:t>03</w:t>
            </w:r>
            <w:r w:rsidR="00A0173C" w:rsidRPr="00A4119F">
              <w:t>-</w:t>
            </w:r>
            <w:r w:rsidR="00397B76" w:rsidRPr="00A4119F">
              <w:t>202</w:t>
            </w:r>
            <w:r w:rsidR="003E6A14" w:rsidRPr="00A4119F">
              <w:t>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0EFF46FE" w14:textId="72532F59" w:rsidR="00B93019" w:rsidRPr="00A4119F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E44765C" w14:textId="77777777" w:rsidR="00EB70ED" w:rsidRPr="00A4119F" w:rsidRDefault="00EB70ED" w:rsidP="00AD23BC">
            <w:pPr>
              <w:widowControl/>
              <w:jc w:val="left"/>
              <w:rPr>
                <w:i/>
                <w:iCs/>
              </w:rPr>
            </w:pPr>
          </w:p>
          <w:p w14:paraId="1325829B" w14:textId="14768AD8" w:rsidR="00022B6A" w:rsidRDefault="00022B6A" w:rsidP="00022B6A">
            <w:r w:rsidRPr="00022B6A">
              <w:t xml:space="preserve">El área de </w:t>
            </w:r>
            <w:r w:rsidR="005F0267">
              <w:t xml:space="preserve">Contabilidad </w:t>
            </w:r>
            <w:r w:rsidR="00EF056F">
              <w:t>levanto</w:t>
            </w:r>
            <w:r w:rsidR="005F0267">
              <w:t xml:space="preserve"> una mejora en SAP modificado la imputación de las facturas </w:t>
            </w:r>
            <w:r w:rsidR="005F0267" w:rsidRPr="005F0267">
              <w:t>afectas</w:t>
            </w:r>
            <w:r w:rsidR="005F0267">
              <w:t xml:space="preserve"> </w:t>
            </w:r>
            <w:r w:rsidR="005F0267" w:rsidRPr="005F0267">
              <w:t>a IVA recibida</w:t>
            </w:r>
            <w:r w:rsidR="00C058FC">
              <w:t>s</w:t>
            </w:r>
            <w:r w:rsidR="005F0267" w:rsidRPr="005F0267">
              <w:t xml:space="preserve"> desde un proveedor.</w:t>
            </w:r>
          </w:p>
          <w:p w14:paraId="40B8E0BD" w14:textId="77777777" w:rsidR="005E0449" w:rsidRDefault="005E0449" w:rsidP="00022B6A"/>
          <w:p w14:paraId="12C28CEC" w14:textId="70EADFA3" w:rsidR="005E0449" w:rsidRDefault="005E0449" w:rsidP="005E0449">
            <w:pPr>
              <w:rPr>
                <w:lang w:val="es-ES"/>
              </w:rPr>
            </w:pPr>
            <w:r w:rsidRPr="005E0449">
              <w:rPr>
                <w:lang w:val="es-ES"/>
              </w:rPr>
              <w:t xml:space="preserve">Se solicita que al momento de contabilizar una factura afecta a IVA, el monto de IVA crédito se impute a la cuenta </w:t>
            </w:r>
            <w:r w:rsidRPr="005F0267">
              <w:t>31</w:t>
            </w:r>
            <w:r>
              <w:t>0000</w:t>
            </w:r>
            <w:r w:rsidRPr="005F0267">
              <w:t>1039</w:t>
            </w:r>
            <w:r>
              <w:t xml:space="preserve"> </w:t>
            </w:r>
            <w:r w:rsidRPr="005E0449">
              <w:rPr>
                <w:lang w:val="es-ES"/>
              </w:rPr>
              <w:t>con el mismo CECO con el que se reconoce la cuenta de gasto que se está imputando.</w:t>
            </w:r>
          </w:p>
          <w:p w14:paraId="72E26D1B" w14:textId="77777777" w:rsidR="005E0449" w:rsidRDefault="005E0449" w:rsidP="005E0449">
            <w:pPr>
              <w:rPr>
                <w:lang w:val="es-ES"/>
              </w:rPr>
            </w:pPr>
          </w:p>
          <w:p w14:paraId="5DC8AA1E" w14:textId="7F7F72D8" w:rsidR="00022B6A" w:rsidRPr="00864DBA" w:rsidRDefault="00864DBA" w:rsidP="00022B6A">
            <w:pPr>
              <w:rPr>
                <w:bCs/>
                <w:lang w:val="es-ES"/>
              </w:rPr>
            </w:pPr>
            <w:r w:rsidRPr="00864DBA">
              <w:rPr>
                <w:bCs/>
                <w:lang w:val="es-ES"/>
              </w:rPr>
              <w:t>Es necesario que, tanto para las cuentas de pasivo</w:t>
            </w:r>
            <w:r w:rsidR="00EF056F">
              <w:rPr>
                <w:bCs/>
                <w:lang w:val="es-ES"/>
              </w:rPr>
              <w:t xml:space="preserve"> “Z”</w:t>
            </w:r>
            <w:r w:rsidRPr="00864DBA">
              <w:rPr>
                <w:bCs/>
                <w:lang w:val="es-ES"/>
              </w:rPr>
              <w:t xml:space="preserve">, el campo de </w:t>
            </w:r>
            <w:r w:rsidR="00C058FC">
              <w:rPr>
                <w:bCs/>
                <w:lang w:val="es-ES"/>
              </w:rPr>
              <w:t>Ceco</w:t>
            </w:r>
            <w:r w:rsidRPr="00864DBA">
              <w:rPr>
                <w:bCs/>
                <w:lang w:val="es-ES"/>
              </w:rPr>
              <w:t xml:space="preserve"> sea obligator</w:t>
            </w:r>
            <w:r>
              <w:rPr>
                <w:bCs/>
                <w:lang w:val="es-ES"/>
              </w:rPr>
              <w:t>io</w:t>
            </w:r>
            <w:r w:rsidRPr="00864DBA">
              <w:rPr>
                <w:bCs/>
                <w:lang w:val="es-ES"/>
              </w:rPr>
              <w:t>. Tal como ya ocurre con las cuentas de gasto</w:t>
            </w:r>
            <w:r w:rsidR="00EF056F">
              <w:rPr>
                <w:bCs/>
                <w:lang w:val="es-ES"/>
              </w:rPr>
              <w:t xml:space="preserve"> “K”</w:t>
            </w:r>
            <w:r w:rsidRPr="00864DBA">
              <w:rPr>
                <w:bCs/>
                <w:lang w:val="es-ES"/>
              </w:rPr>
              <w:t>.</w:t>
            </w:r>
          </w:p>
          <w:p w14:paraId="19F84167" w14:textId="77777777" w:rsidR="00022B6A" w:rsidRPr="00022B6A" w:rsidRDefault="00022B6A" w:rsidP="00022B6A">
            <w:pPr>
              <w:ind w:left="720"/>
            </w:pPr>
          </w:p>
          <w:p w14:paraId="290A1030" w14:textId="77777777" w:rsidR="00022B6A" w:rsidRP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021BD7FC" w14:textId="75C6CD4E" w:rsidR="00022B6A" w:rsidRDefault="00022B6A" w:rsidP="00022B6A">
            <w:pPr>
              <w:numPr>
                <w:ilvl w:val="0"/>
                <w:numId w:val="25"/>
              </w:numPr>
            </w:pPr>
            <w:r w:rsidRPr="00022B6A">
              <w:t xml:space="preserve">Se creó </w:t>
            </w:r>
            <w:r w:rsidR="005E0449">
              <w:t xml:space="preserve">un </w:t>
            </w:r>
            <w:r w:rsidR="005E0449" w:rsidRPr="005E0449">
              <w:t xml:space="preserve">nuevo indicador de impuesto </w:t>
            </w:r>
            <w:r w:rsidR="005E0449">
              <w:t>“</w:t>
            </w:r>
            <w:r w:rsidR="005E0449" w:rsidRPr="005E0449">
              <w:t>C8</w:t>
            </w:r>
            <w:r w:rsidR="005E0449">
              <w:t>”</w:t>
            </w:r>
            <w:r w:rsidR="005E0449" w:rsidRPr="005E0449">
              <w:t xml:space="preserve"> para el IVA del 19% que contabili</w:t>
            </w:r>
            <w:r w:rsidR="00965BDF">
              <w:t>za</w:t>
            </w:r>
            <w:r w:rsidR="005E0449" w:rsidRPr="005E0449">
              <w:t xml:space="preserve"> a la cuenta 310001039</w:t>
            </w:r>
            <w:r w:rsidRPr="00022B6A">
              <w:t>.</w:t>
            </w:r>
          </w:p>
          <w:p w14:paraId="0212A672" w14:textId="60D00CA6" w:rsidR="00965BDF" w:rsidRDefault="00965BDF" w:rsidP="00022B6A">
            <w:pPr>
              <w:numPr>
                <w:ilvl w:val="0"/>
                <w:numId w:val="25"/>
              </w:numPr>
            </w:pPr>
            <w:r w:rsidRPr="00022B6A">
              <w:t>Se cre</w:t>
            </w:r>
            <w:r>
              <w:t>ó el</w:t>
            </w:r>
            <w:r w:rsidRPr="00965BDF">
              <w:t xml:space="preserve"> programa</w:t>
            </w:r>
            <w:r>
              <w:t xml:space="preserve"> “</w:t>
            </w:r>
            <w:r w:rsidRPr="00965BDF">
              <w:t>ZFIR_DIST_CECO_IVA</w:t>
            </w:r>
            <w:r>
              <w:t>”</w:t>
            </w:r>
            <w:r w:rsidRPr="00965BDF">
              <w:t xml:space="preserve"> </w:t>
            </w:r>
            <w:r>
              <w:t>que realiza</w:t>
            </w:r>
            <w:r w:rsidRPr="00965BDF">
              <w:t xml:space="preserve"> distribución masiva de centro de costo para la cuenta 310001039</w:t>
            </w:r>
            <w:r>
              <w:t>. Asociado a la Tx “</w:t>
            </w:r>
            <w:r w:rsidRPr="00965BDF">
              <w:t>ZCO_001</w:t>
            </w:r>
            <w:r>
              <w:t>”.</w:t>
            </w:r>
          </w:p>
          <w:p w14:paraId="5C41B82A" w14:textId="1E91B7C9" w:rsidR="002D1C43" w:rsidRDefault="00864DBA" w:rsidP="00864DBA">
            <w:pPr>
              <w:pStyle w:val="Prrafodelista"/>
              <w:numPr>
                <w:ilvl w:val="0"/>
                <w:numId w:val="25"/>
              </w:numPr>
            </w:pPr>
            <w:r w:rsidRPr="00864DBA">
              <w:t xml:space="preserve">Se configura el tipo de imputación para </w:t>
            </w:r>
            <w:r>
              <w:t>que el</w:t>
            </w:r>
            <w:r w:rsidRPr="00864DBA">
              <w:t xml:space="preserve"> Ceco</w:t>
            </w:r>
            <w:r>
              <w:t xml:space="preserve"> sea campo obligatorio.</w:t>
            </w:r>
          </w:p>
          <w:p w14:paraId="301EC112" w14:textId="249DF4B3" w:rsidR="00C058FC" w:rsidRPr="00A4119F" w:rsidRDefault="00C058FC" w:rsidP="00864DBA">
            <w:pPr>
              <w:pStyle w:val="Prrafodelista"/>
              <w:numPr>
                <w:ilvl w:val="0"/>
                <w:numId w:val="25"/>
              </w:numPr>
            </w:pPr>
            <w:r>
              <w:t xml:space="preserve">Se modifica </w:t>
            </w:r>
            <w:proofErr w:type="gramStart"/>
            <w:r>
              <w:t>status</w:t>
            </w:r>
            <w:proofErr w:type="gramEnd"/>
            <w:r>
              <w:t xml:space="preserve"> campo grupo </w:t>
            </w:r>
            <w:r w:rsidR="00EF056F">
              <w:t>“</w:t>
            </w:r>
            <w:r>
              <w:t>G001</w:t>
            </w:r>
            <w:r w:rsidR="00EF056F">
              <w:t>”</w:t>
            </w:r>
            <w:r>
              <w:t xml:space="preserve"> habilitando entrada del CECO.</w:t>
            </w:r>
          </w:p>
          <w:p w14:paraId="50D39264" w14:textId="77777777" w:rsidR="00022B6A" w:rsidRPr="00A4119F" w:rsidRDefault="00022B6A" w:rsidP="009004C7"/>
          <w:p w14:paraId="395625D8" w14:textId="354ED529" w:rsidR="007D125C" w:rsidRDefault="00D67C30" w:rsidP="002F166D">
            <w:r w:rsidRPr="00A4119F">
              <w:rPr>
                <w:b/>
                <w:bCs/>
              </w:rPr>
              <w:t>A nivel de Seguridad</w:t>
            </w:r>
            <w:r w:rsidRPr="00A4119F">
              <w:t>:</w:t>
            </w:r>
            <w:r w:rsidR="00AC1EBC" w:rsidRPr="00A4119F">
              <w:t xml:space="preserve"> </w:t>
            </w:r>
            <w:r w:rsidR="007D125C">
              <w:t>El</w:t>
            </w:r>
            <w:r w:rsidR="00022B6A" w:rsidRPr="00A4119F">
              <w:t xml:space="preserve"> programa </w:t>
            </w:r>
            <w:r w:rsidR="007D125C">
              <w:t>“</w:t>
            </w:r>
            <w:r w:rsidR="007D125C" w:rsidRPr="00965BDF">
              <w:t>ZFIR_DIST_CECO_IVA</w:t>
            </w:r>
            <w:r w:rsidR="007D125C">
              <w:t>”</w:t>
            </w:r>
            <w:r w:rsidR="007D125C" w:rsidRPr="00965BDF">
              <w:t xml:space="preserve"> </w:t>
            </w:r>
            <w:r w:rsidR="00022B6A" w:rsidRPr="00A4119F">
              <w:t xml:space="preserve">fue enviado a Mauricio Guerra para su revisión, obteniendo la aprobación de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>.</w:t>
            </w:r>
          </w:p>
          <w:p w14:paraId="6FE4A3BB" w14:textId="2F113A6A" w:rsidR="00D67C30" w:rsidRDefault="007D125C" w:rsidP="002F166D">
            <w:r w:rsidRPr="007D125C">
              <w:t xml:space="preserve">Una vez realizado el transporte en </w:t>
            </w:r>
            <w:proofErr w:type="gramStart"/>
            <w:r w:rsidRPr="007D125C">
              <w:t>PRD</w:t>
            </w:r>
            <w:proofErr w:type="gramEnd"/>
            <w:r w:rsidRPr="007D125C">
              <w:t xml:space="preserve"> se debe realizar la importación del indicador de impuesto C8 mediante la </w:t>
            </w:r>
            <w:r w:rsidR="00AA69F3">
              <w:t>Tx</w:t>
            </w:r>
            <w:r w:rsidRPr="007D125C">
              <w:t xml:space="preserve"> FTXP </w:t>
            </w:r>
            <w:r w:rsidR="00AA69F3">
              <w:t xml:space="preserve">con </w:t>
            </w:r>
            <w:r w:rsidRPr="007D125C">
              <w:t>opción importar orden de transporte</w:t>
            </w:r>
            <w:r w:rsidR="00AA69F3">
              <w:t>, por lo que se debe solicitar permisos al usuario YUZCATEGUI</w:t>
            </w:r>
            <w:r w:rsidRPr="007D125C">
              <w:t>.</w:t>
            </w:r>
          </w:p>
          <w:p w14:paraId="6A074E2C" w14:textId="77777777" w:rsidR="007D125C" w:rsidRPr="00A4119F" w:rsidRDefault="007D125C" w:rsidP="002F166D"/>
          <w:p w14:paraId="5BDF294E" w14:textId="0FE2AED8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orden de transporte 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Pr="00A4119F" w:rsidRDefault="0067700B"/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7700B" w:rsidRPr="00A4119F" w14:paraId="1E65EE20" w14:textId="77777777" w:rsidTr="00EF5766">
        <w:trPr>
          <w:trHeight w:val="178"/>
        </w:trPr>
        <w:tc>
          <w:tcPr>
            <w:tcW w:w="8613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F5766">
        <w:trPr>
          <w:trHeight w:val="192"/>
        </w:trPr>
        <w:tc>
          <w:tcPr>
            <w:tcW w:w="8613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F5766">
        <w:trPr>
          <w:trHeight w:val="1047"/>
        </w:trPr>
        <w:tc>
          <w:tcPr>
            <w:tcW w:w="8613" w:type="dxa"/>
          </w:tcPr>
          <w:p w14:paraId="017A6458" w14:textId="77777777" w:rsidR="0067700B" w:rsidRPr="00A4119F" w:rsidRDefault="0067700B"/>
          <w:p w14:paraId="1E65EE23" w14:textId="0BE077E5" w:rsidR="002F166D" w:rsidRPr="00A4119F" w:rsidRDefault="009502F9">
            <w:r>
              <w:t>H</w:t>
            </w:r>
            <w:r w:rsidRPr="009502F9">
              <w:t xml:space="preserve">acer </w:t>
            </w:r>
            <w:r w:rsidRPr="009502F9">
              <w:t>más</w:t>
            </w:r>
            <w:r w:rsidRPr="009502F9">
              <w:t xml:space="preserve"> eficiente la imputación de este gasto (IVA no recuperable) al CECO que corresponde según el gasto que lo origina</w:t>
            </w:r>
            <w:r>
              <w:t>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D33973A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6DA517FF" w14:textId="77777777" w:rsidR="006F3404" w:rsidRPr="00A4119F" w:rsidRDefault="006F3404" w:rsidP="009A67DC">
            <w:pPr>
              <w:rPr>
                <w:rFonts w:eastAsia="Times New Roman"/>
                <w:b/>
                <w:bCs/>
                <w:color w:val="002060"/>
                <w:lang w:eastAsia="en-US"/>
              </w:rPr>
            </w:pPr>
          </w:p>
          <w:p w14:paraId="1E65EE5A" w14:textId="5346E5FC" w:rsidR="00143D1E" w:rsidRPr="00A4119F" w:rsidRDefault="009502F9" w:rsidP="00430A55">
            <w:r>
              <w:t xml:space="preserve">Transportar mediante la Tx </w:t>
            </w:r>
            <w:r w:rsidRPr="007D125C">
              <w:t>FTXP</w:t>
            </w:r>
            <w:r>
              <w:t xml:space="preserve"> el nuevo indicador de impuestos C8.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4F07EAF7" w:rsidR="00430A55" w:rsidRPr="00A4119F" w:rsidRDefault="00430A55" w:rsidP="00430A55">
            <w:r w:rsidRPr="00A4119F">
              <w:t xml:space="preserve">Solicitar al negocio </w:t>
            </w:r>
            <w:r w:rsidR="009502F9">
              <w:t>no crear Solpeds ni Ocs</w:t>
            </w:r>
            <w:r w:rsidRPr="00A4119F">
              <w:t>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proofErr w:type="spellStart"/>
            <w:r w:rsidRPr="00A4119F">
              <w:t>TPH</w:t>
            </w:r>
            <w:proofErr w:type="spellEnd"/>
            <w:r w:rsidRPr="00A4119F">
              <w:t xml:space="preserve">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proofErr w:type="spellStart"/>
            <w:r w:rsidRPr="00A4119F">
              <w:t>TPH</w:t>
            </w:r>
            <w:proofErr w:type="spellEnd"/>
            <w:r w:rsidRPr="00A4119F">
              <w:t xml:space="preserve">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APROBACIÓN DE </w:t>
            </w:r>
            <w:proofErr w:type="spellStart"/>
            <w:r w:rsidRPr="00A4119F">
              <w:rPr>
                <w:b/>
                <w:bCs/>
                <w:color w:val="FFFFFF" w:themeColor="background1"/>
              </w:rPr>
              <w:t>QA</w:t>
            </w:r>
            <w:proofErr w:type="spellEnd"/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2250B2F7" w:rsidR="0067700B" w:rsidRPr="00A4119F" w:rsidRDefault="009502F9">
            <w:r>
              <w:t>Jose Escobar / Elias Painenao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EB4D087" w:rsidR="0067700B" w:rsidRPr="00A4119F" w:rsidRDefault="009502F9">
            <w:r>
              <w:t>06</w:t>
            </w:r>
            <w:r w:rsidR="00022B6A" w:rsidRPr="00A4119F">
              <w:t>.0</w:t>
            </w:r>
            <w:r>
              <w:t>3</w:t>
            </w:r>
            <w:r w:rsidR="0017173B" w:rsidRPr="00A4119F">
              <w:t>.202</w:t>
            </w:r>
            <w:r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proofErr w:type="spellStart"/>
            <w:r w:rsidRPr="00A4119F">
              <w:t>TPH</w:t>
            </w:r>
            <w:proofErr w:type="spellEnd"/>
            <w:r w:rsidRPr="00A4119F">
              <w:t xml:space="preserve">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7A7C5A2E" w:rsidR="0067700B" w:rsidRPr="00A4119F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__       NO _</w:t>
      </w:r>
      <w:r w:rsidR="00EF5766" w:rsidRPr="00A4119F">
        <w:t>X</w:t>
      </w:r>
      <w:r w:rsidRPr="00A4119F">
        <w:t>_</w:t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2FFA0CA" w:rsidR="003B370F" w:rsidRPr="00A4119F" w:rsidRDefault="009502F9" w:rsidP="00AA47D3">
            <w:pPr>
              <w:jc w:val="center"/>
            </w:pPr>
            <w:r>
              <w:t>31</w:t>
            </w:r>
            <w:r w:rsidR="00024263" w:rsidRPr="00A4119F">
              <w:t>-</w:t>
            </w:r>
            <w:r w:rsidR="00CD6763" w:rsidRPr="00A4119F">
              <w:t>0</w:t>
            </w:r>
            <w:r w:rsidR="00022B6A" w:rsidRPr="00A4119F">
              <w:t>3</w:t>
            </w:r>
            <w:r w:rsidR="00024263" w:rsidRPr="00A4119F">
              <w:t>-</w:t>
            </w:r>
            <w:r w:rsidR="008C7408" w:rsidRPr="00A4119F">
              <w:t>202</w:t>
            </w:r>
            <w:r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0160C891" w:rsidR="003B370F" w:rsidRPr="00A4119F" w:rsidRDefault="009502F9" w:rsidP="00AA47D3">
            <w:pPr>
              <w:jc w:val="center"/>
            </w:pPr>
            <w:r>
              <w:t>20</w:t>
            </w:r>
            <w:r w:rsidR="008C7408" w:rsidRPr="00A4119F">
              <w:t>:0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2CF48B76" w14:textId="77777777" w:rsidR="00884BCD" w:rsidRPr="00A4119F" w:rsidRDefault="00884BCD">
      <w:pPr>
        <w:jc w:val="both"/>
        <w:rPr>
          <w:u w:val="single"/>
        </w:rPr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4119F" w:rsidRDefault="0067700B">
      <w:pPr>
        <w:jc w:val="both"/>
      </w:pP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lastRenderedPageBreak/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F8E5" w14:textId="77777777" w:rsidR="006912F5" w:rsidRPr="00A4119F" w:rsidRDefault="006912F5">
      <w:r w:rsidRPr="00A4119F">
        <w:separator/>
      </w:r>
    </w:p>
  </w:endnote>
  <w:endnote w:type="continuationSeparator" w:id="0">
    <w:p w14:paraId="439C175E" w14:textId="77777777" w:rsidR="006912F5" w:rsidRPr="00A4119F" w:rsidRDefault="006912F5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BF397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80D1" w14:textId="77777777" w:rsidR="006912F5" w:rsidRPr="00A4119F" w:rsidRDefault="006912F5">
      <w:r w:rsidRPr="00A4119F">
        <w:separator/>
      </w:r>
    </w:p>
  </w:footnote>
  <w:footnote w:type="continuationSeparator" w:id="0">
    <w:p w14:paraId="1E59F9E4" w14:textId="77777777" w:rsidR="006912F5" w:rsidRPr="00A4119F" w:rsidRDefault="006912F5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85A18"/>
    <w:rsid w:val="000A3A92"/>
    <w:rsid w:val="000B263D"/>
    <w:rsid w:val="000D0856"/>
    <w:rsid w:val="000D6AFA"/>
    <w:rsid w:val="000D71AA"/>
    <w:rsid w:val="000E65C6"/>
    <w:rsid w:val="00116772"/>
    <w:rsid w:val="00143D1E"/>
    <w:rsid w:val="001518E3"/>
    <w:rsid w:val="00156571"/>
    <w:rsid w:val="0017173B"/>
    <w:rsid w:val="001819B2"/>
    <w:rsid w:val="001836CB"/>
    <w:rsid w:val="001B1191"/>
    <w:rsid w:val="001B25A0"/>
    <w:rsid w:val="001C0765"/>
    <w:rsid w:val="001C7D9B"/>
    <w:rsid w:val="001F2C24"/>
    <w:rsid w:val="00200640"/>
    <w:rsid w:val="00211569"/>
    <w:rsid w:val="00217C2D"/>
    <w:rsid w:val="002233E5"/>
    <w:rsid w:val="002368DC"/>
    <w:rsid w:val="00242D67"/>
    <w:rsid w:val="00244D3E"/>
    <w:rsid w:val="00250475"/>
    <w:rsid w:val="00257A63"/>
    <w:rsid w:val="002664D3"/>
    <w:rsid w:val="00267387"/>
    <w:rsid w:val="00276CCB"/>
    <w:rsid w:val="0028369A"/>
    <w:rsid w:val="002B05A2"/>
    <w:rsid w:val="002D1C43"/>
    <w:rsid w:val="002E67EF"/>
    <w:rsid w:val="002F166D"/>
    <w:rsid w:val="003069C0"/>
    <w:rsid w:val="00317FC4"/>
    <w:rsid w:val="00323B2C"/>
    <w:rsid w:val="00336BE1"/>
    <w:rsid w:val="003641BB"/>
    <w:rsid w:val="00397B76"/>
    <w:rsid w:val="003B1808"/>
    <w:rsid w:val="003B30E9"/>
    <w:rsid w:val="003B370F"/>
    <w:rsid w:val="003C7199"/>
    <w:rsid w:val="003D2F09"/>
    <w:rsid w:val="003D3D08"/>
    <w:rsid w:val="003D7B82"/>
    <w:rsid w:val="003E6A14"/>
    <w:rsid w:val="00430A55"/>
    <w:rsid w:val="004A4277"/>
    <w:rsid w:val="004B62B9"/>
    <w:rsid w:val="004F57FB"/>
    <w:rsid w:val="00521C6C"/>
    <w:rsid w:val="0053125D"/>
    <w:rsid w:val="00545509"/>
    <w:rsid w:val="005523C4"/>
    <w:rsid w:val="00560FA7"/>
    <w:rsid w:val="005853D7"/>
    <w:rsid w:val="005A1E17"/>
    <w:rsid w:val="005B457A"/>
    <w:rsid w:val="005C5F3C"/>
    <w:rsid w:val="005E0449"/>
    <w:rsid w:val="005E2DD2"/>
    <w:rsid w:val="005F0267"/>
    <w:rsid w:val="005F2AEF"/>
    <w:rsid w:val="00602145"/>
    <w:rsid w:val="00675AD4"/>
    <w:rsid w:val="0067700B"/>
    <w:rsid w:val="00687E04"/>
    <w:rsid w:val="006912F5"/>
    <w:rsid w:val="006C4BFB"/>
    <w:rsid w:val="006F3404"/>
    <w:rsid w:val="006F397D"/>
    <w:rsid w:val="007058E3"/>
    <w:rsid w:val="007452B6"/>
    <w:rsid w:val="007626F5"/>
    <w:rsid w:val="0077272C"/>
    <w:rsid w:val="007902E9"/>
    <w:rsid w:val="00794386"/>
    <w:rsid w:val="007B0D76"/>
    <w:rsid w:val="007D125C"/>
    <w:rsid w:val="007D617B"/>
    <w:rsid w:val="008267D2"/>
    <w:rsid w:val="0084398C"/>
    <w:rsid w:val="0085326A"/>
    <w:rsid w:val="00864DBA"/>
    <w:rsid w:val="008762B7"/>
    <w:rsid w:val="00881A09"/>
    <w:rsid w:val="00884BCD"/>
    <w:rsid w:val="008C7163"/>
    <w:rsid w:val="008C7408"/>
    <w:rsid w:val="008D1E4D"/>
    <w:rsid w:val="008D30A5"/>
    <w:rsid w:val="008D3695"/>
    <w:rsid w:val="008D7DFF"/>
    <w:rsid w:val="009004C7"/>
    <w:rsid w:val="009502F9"/>
    <w:rsid w:val="00952F48"/>
    <w:rsid w:val="00955320"/>
    <w:rsid w:val="00965BDF"/>
    <w:rsid w:val="009A67DC"/>
    <w:rsid w:val="009B085D"/>
    <w:rsid w:val="009B3230"/>
    <w:rsid w:val="009E4E70"/>
    <w:rsid w:val="009E5780"/>
    <w:rsid w:val="00A01449"/>
    <w:rsid w:val="00A0173C"/>
    <w:rsid w:val="00A4119F"/>
    <w:rsid w:val="00A72538"/>
    <w:rsid w:val="00A92AAD"/>
    <w:rsid w:val="00AA69F3"/>
    <w:rsid w:val="00AC1EBC"/>
    <w:rsid w:val="00AC5008"/>
    <w:rsid w:val="00AD23BC"/>
    <w:rsid w:val="00AE1834"/>
    <w:rsid w:val="00AE5DB6"/>
    <w:rsid w:val="00B40CC2"/>
    <w:rsid w:val="00B40E3D"/>
    <w:rsid w:val="00B51D19"/>
    <w:rsid w:val="00B60B9F"/>
    <w:rsid w:val="00B84712"/>
    <w:rsid w:val="00B93019"/>
    <w:rsid w:val="00BB2562"/>
    <w:rsid w:val="00BD0753"/>
    <w:rsid w:val="00BD0F46"/>
    <w:rsid w:val="00BF3F13"/>
    <w:rsid w:val="00C058FC"/>
    <w:rsid w:val="00C316BB"/>
    <w:rsid w:val="00C90430"/>
    <w:rsid w:val="00CA4BAF"/>
    <w:rsid w:val="00CA52E3"/>
    <w:rsid w:val="00CD6763"/>
    <w:rsid w:val="00CF76F8"/>
    <w:rsid w:val="00D325DB"/>
    <w:rsid w:val="00D42CC4"/>
    <w:rsid w:val="00D67C30"/>
    <w:rsid w:val="00DD0FA2"/>
    <w:rsid w:val="00DD5909"/>
    <w:rsid w:val="00DE662D"/>
    <w:rsid w:val="00E214E6"/>
    <w:rsid w:val="00E26B6C"/>
    <w:rsid w:val="00E47B3A"/>
    <w:rsid w:val="00E567CC"/>
    <w:rsid w:val="00E74E7C"/>
    <w:rsid w:val="00E85E7B"/>
    <w:rsid w:val="00E95C49"/>
    <w:rsid w:val="00E97C79"/>
    <w:rsid w:val="00EA137E"/>
    <w:rsid w:val="00EA41EB"/>
    <w:rsid w:val="00EB70ED"/>
    <w:rsid w:val="00EC48B7"/>
    <w:rsid w:val="00EF056F"/>
    <w:rsid w:val="00EF294D"/>
    <w:rsid w:val="00EF5766"/>
    <w:rsid w:val="00EF7EC7"/>
    <w:rsid w:val="00F21A86"/>
    <w:rsid w:val="00F619C6"/>
    <w:rsid w:val="00FB2B3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Yizlace Uzcategui</cp:lastModifiedBy>
  <cp:revision>4</cp:revision>
  <dcterms:created xsi:type="dcterms:W3CDTF">2025-03-27T18:39:00Z</dcterms:created>
  <dcterms:modified xsi:type="dcterms:W3CDTF">2025-03-27T18:40:00Z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