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BA405D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BA405D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BA405D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BA405D" w14:paraId="1E65EDFE" w14:textId="77777777" w:rsidTr="007629EB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BA405D" w:rsidRDefault="00B40CC2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="00257A63" w:rsidRPr="00BA405D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BA405D" w14:paraId="1E65EE01" w14:textId="77777777" w:rsidTr="007629EB">
        <w:tc>
          <w:tcPr>
            <w:tcW w:w="2227" w:type="dxa"/>
          </w:tcPr>
          <w:p w14:paraId="1E65EDF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 w14:textId="2370D6A6" w:rsidR="0067700B" w:rsidRPr="00BA405D" w:rsidRDefault="7F7D3F72">
            <w:r w:rsidRPr="00BA405D">
              <w:rPr>
                <w:rFonts w:ascii="Calibri" w:eastAsia="Calibri" w:hAnsi="Calibri" w:cs="Calibri"/>
              </w:rPr>
              <w:t>Automotriz TSF</w:t>
            </w:r>
          </w:p>
        </w:tc>
      </w:tr>
      <w:tr w:rsidR="007629EB" w:rsidRPr="00BA405D" w14:paraId="1E65EE04" w14:textId="77777777" w:rsidTr="007629EB">
        <w:tc>
          <w:tcPr>
            <w:tcW w:w="2227" w:type="dxa"/>
          </w:tcPr>
          <w:p w14:paraId="1E65EE02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1E65EE03" w14:textId="4B9FF07F" w:rsidR="007629EB" w:rsidRPr="00BA405D" w:rsidRDefault="000E1149" w:rsidP="007629EB">
            <w:pPr>
              <w:rPr>
                <w:rFonts w:ascii="Calibri" w:eastAsia="Calibri" w:hAnsi="Calibri" w:cs="Calibri"/>
              </w:rPr>
            </w:pPr>
            <w:r w:rsidRPr="00795749">
              <w:rPr>
                <w:color w:val="000000"/>
              </w:rPr>
              <w:t>GCTI-5</w:t>
            </w:r>
            <w:r w:rsidR="005561FA">
              <w:rPr>
                <w:color w:val="000000"/>
              </w:rPr>
              <w:t>25</w:t>
            </w:r>
            <w:r w:rsidRPr="00795749">
              <w:rPr>
                <w:color w:val="000000"/>
              </w:rPr>
              <w:t> </w:t>
            </w:r>
            <w:r w:rsidR="005561FA" w:rsidRPr="005561FA">
              <w:rPr>
                <w:color w:val="000000"/>
              </w:rPr>
              <w:t>Emisión DTE – Gasto cobranza y Costo recaudación</w:t>
            </w:r>
          </w:p>
        </w:tc>
      </w:tr>
      <w:tr w:rsidR="007629EB" w:rsidRPr="00BA405D" w14:paraId="1E65EE07" w14:textId="77777777" w:rsidTr="007629EB">
        <w:tc>
          <w:tcPr>
            <w:tcW w:w="2227" w:type="dxa"/>
          </w:tcPr>
          <w:p w14:paraId="1E65EE05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 w14:textId="2C8745AF" w:rsidR="007629EB" w:rsidRPr="00BA405D" w:rsidRDefault="007629EB" w:rsidP="007629EB">
            <w:r w:rsidRPr="00BA405D">
              <w:rPr>
                <w:rFonts w:ascii="Calibri" w:eastAsia="Calibri" w:hAnsi="Calibri" w:cs="Calibri"/>
              </w:rPr>
              <w:t>Alejandro Leon (PM) y Karen Bravo (PO)</w:t>
            </w:r>
          </w:p>
        </w:tc>
      </w:tr>
      <w:tr w:rsidR="007629EB" w:rsidRPr="00BA405D" w14:paraId="1E65EE0A" w14:textId="77777777" w:rsidTr="007629EB">
        <w:tc>
          <w:tcPr>
            <w:tcW w:w="2227" w:type="dxa"/>
          </w:tcPr>
          <w:p w14:paraId="1E65EE08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 w14:textId="66F7F9F1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hyperlink r:id="rId11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aleon.ext@tanner.cl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  <w:hyperlink r:id="rId12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karen.bravo@tanner.cl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7629EB" w:rsidRPr="00BA405D" w14:paraId="1E65EE0E" w14:textId="77777777" w:rsidTr="007629EB">
        <w:tc>
          <w:tcPr>
            <w:tcW w:w="2227" w:type="dxa"/>
          </w:tcPr>
          <w:p w14:paraId="1E65EE0B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 w14:textId="77777777" w:rsidR="007629EB" w:rsidRPr="00BA405D" w:rsidRDefault="007629EB" w:rsidP="007629EB"/>
        </w:tc>
        <w:tc>
          <w:tcPr>
            <w:tcW w:w="2277" w:type="dxa"/>
          </w:tcPr>
          <w:p w14:paraId="1E65EE0D" w14:textId="77777777" w:rsidR="007629EB" w:rsidRPr="00BA405D" w:rsidRDefault="007629EB" w:rsidP="007629EB"/>
        </w:tc>
      </w:tr>
      <w:tr w:rsidR="007629EB" w:rsidRPr="00BA405D" w14:paraId="1E65EE13" w14:textId="77777777" w:rsidTr="007629EB">
        <w:trPr>
          <w:trHeight w:val="90"/>
        </w:trPr>
        <w:tc>
          <w:tcPr>
            <w:tcW w:w="6019" w:type="dxa"/>
            <w:gridSpan w:val="2"/>
          </w:tcPr>
          <w:p w14:paraId="1E65EE0F" w14:textId="77777777" w:rsidR="007629EB" w:rsidRPr="00BA405D" w:rsidRDefault="007629EB" w:rsidP="007629EB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7629EB" w:rsidRPr="00BA405D" w:rsidRDefault="007629EB" w:rsidP="007629EB"/>
          <w:p w14:paraId="1E65EE11" w14:textId="6DC4BC38" w:rsidR="007629EB" w:rsidRPr="00BA405D" w:rsidRDefault="007629EB" w:rsidP="007629EB">
            <w:r w:rsidRPr="00BA405D">
              <w:t>SI: __ NO: __X_</w:t>
            </w:r>
          </w:p>
          <w:p w14:paraId="1E65EE12" w14:textId="77777777" w:rsidR="007629EB" w:rsidRPr="00BA405D" w:rsidRDefault="007629EB" w:rsidP="007629EB"/>
        </w:tc>
      </w:tr>
      <w:tr w:rsidR="007629EB" w:rsidRPr="00BA405D" w14:paraId="1E65EE16" w14:textId="77777777" w:rsidTr="007629EB">
        <w:tc>
          <w:tcPr>
            <w:tcW w:w="6019" w:type="dxa"/>
            <w:gridSpan w:val="2"/>
          </w:tcPr>
          <w:p w14:paraId="1E65EE14" w14:textId="77777777" w:rsidR="007629EB" w:rsidRPr="00BA405D" w:rsidRDefault="007629EB" w:rsidP="007629EB">
            <w:r w:rsidRPr="00BA405D">
              <w:t>Fecha de la última presentación (actual)</w:t>
            </w:r>
          </w:p>
        </w:tc>
        <w:tc>
          <w:tcPr>
            <w:tcW w:w="2277" w:type="dxa"/>
          </w:tcPr>
          <w:p w14:paraId="1E65EE15" w14:textId="2F75AFCC" w:rsidR="007629EB" w:rsidRPr="00BA405D" w:rsidRDefault="007629EB" w:rsidP="007629EB"/>
        </w:tc>
      </w:tr>
    </w:tbl>
    <w:p w14:paraId="1E65EE17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19" w14:textId="77777777" w:rsidTr="7D154134">
        <w:tc>
          <w:tcPr>
            <w:tcW w:w="8522" w:type="dxa"/>
            <w:shd w:val="clear" w:color="auto" w:fill="005CB8"/>
          </w:tcPr>
          <w:p w14:paraId="1E65EE18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BA405D" w14:paraId="1E65EE1B" w14:textId="77777777" w:rsidTr="7D154134">
        <w:trPr>
          <w:trHeight w:val="302"/>
        </w:trPr>
        <w:tc>
          <w:tcPr>
            <w:tcW w:w="8522" w:type="dxa"/>
          </w:tcPr>
          <w:p w14:paraId="1E65EE1A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="0067700B" w:rsidRPr="00BA405D" w14:paraId="1E65EE1D" w14:textId="77777777" w:rsidTr="7D154134">
        <w:trPr>
          <w:trHeight w:val="1553"/>
        </w:trPr>
        <w:tc>
          <w:tcPr>
            <w:tcW w:w="8522" w:type="dxa"/>
          </w:tcPr>
          <w:p w14:paraId="1E65EE1C" w14:textId="7BD373E5" w:rsidR="000E1149" w:rsidRPr="00BA405D" w:rsidRDefault="00CB45A2" w:rsidP="000B21CF">
            <w:r w:rsidRPr="00CB45A2">
              <w:t xml:space="preserve">El cambio consiste en habilitar nuevamente la emisión automática de </w:t>
            </w:r>
            <w:r w:rsidRPr="00CB45A2">
              <w:rPr>
                <w:b/>
                <w:bCs/>
              </w:rPr>
              <w:t>Documentos Tributarios Electrónicos (DTE)</w:t>
            </w:r>
            <w:r w:rsidRPr="00CB45A2">
              <w:t xml:space="preserve"> asociados a </w:t>
            </w:r>
            <w:r w:rsidRPr="00CB45A2">
              <w:rPr>
                <w:b/>
                <w:bCs/>
              </w:rPr>
              <w:t>gastos de cobranza y costo de recaudación</w:t>
            </w:r>
            <w:r w:rsidRPr="00CB45A2">
              <w:t>.</w:t>
            </w:r>
            <w:r w:rsidRPr="00CB45A2">
              <w:br/>
              <w:t xml:space="preserve">Para ello se implementa un proceso </w:t>
            </w:r>
            <w:proofErr w:type="spellStart"/>
            <w:r w:rsidRPr="00CB45A2">
              <w:t>backend</w:t>
            </w:r>
            <w:proofErr w:type="spellEnd"/>
            <w:r w:rsidRPr="00CB45A2">
              <w:t xml:space="preserve"> que extrae desde </w:t>
            </w:r>
            <w:r w:rsidRPr="00CB45A2">
              <w:rPr>
                <w:b/>
                <w:bCs/>
              </w:rPr>
              <w:t>Mónaco</w:t>
            </w:r>
            <w:r w:rsidRPr="00CB45A2">
              <w:t xml:space="preserve"> los pagos realizados por los clientes (cuotas, prepagos, refinanciamientos, renegociaciones, daciones y reversas), registra la información en una </w:t>
            </w:r>
            <w:r w:rsidRPr="00CB45A2">
              <w:rPr>
                <w:b/>
                <w:bCs/>
              </w:rPr>
              <w:t>base de datos intermedia</w:t>
            </w:r>
            <w:r w:rsidRPr="00CB45A2">
              <w:t xml:space="preserve"> y posteriormente utiliza la </w:t>
            </w:r>
            <w:r w:rsidRPr="00CB45A2">
              <w:rPr>
                <w:b/>
                <w:bCs/>
              </w:rPr>
              <w:t xml:space="preserve">API de </w:t>
            </w:r>
            <w:proofErr w:type="spellStart"/>
            <w:r w:rsidRPr="00CB45A2">
              <w:rPr>
                <w:b/>
                <w:bCs/>
              </w:rPr>
              <w:t>Enternet</w:t>
            </w:r>
            <w:proofErr w:type="spellEnd"/>
            <w:r w:rsidRPr="00CB45A2">
              <w:t xml:space="preserve"> para emitir los DTE correspondientes (factura o boleta).</w:t>
            </w:r>
            <w:r w:rsidRPr="00CB45A2">
              <w:br/>
              <w:t xml:space="preserve">Adicionalmente se incorporan validaciones de información del cliente, control de estados de emisión y manejo de </w:t>
            </w:r>
            <w:r w:rsidRPr="00CB45A2">
              <w:rPr>
                <w:b/>
                <w:bCs/>
              </w:rPr>
              <w:t>notas de crédito en caso de reversa de pagos</w:t>
            </w:r>
            <w:r w:rsidRPr="00CB45A2">
              <w:t xml:space="preserve">. No se realizan cambios en el </w:t>
            </w:r>
            <w:proofErr w:type="spellStart"/>
            <w:r w:rsidRPr="00CB45A2">
              <w:t>front-end</w:t>
            </w:r>
            <w:proofErr w:type="spellEnd"/>
            <w:r w:rsidRPr="00CB45A2">
              <w:t>.</w:t>
            </w:r>
          </w:p>
        </w:tc>
      </w:tr>
    </w:tbl>
    <w:p w14:paraId="1E65EE1E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20" w14:textId="77777777" w:rsidTr="7D154134">
        <w:tc>
          <w:tcPr>
            <w:tcW w:w="8522" w:type="dxa"/>
            <w:shd w:val="clear" w:color="auto" w:fill="005CB8"/>
          </w:tcPr>
          <w:p w14:paraId="1E65EE1F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BA405D" w14:paraId="1E65EE22" w14:textId="77777777" w:rsidTr="7D154134">
        <w:trPr>
          <w:trHeight w:val="259"/>
        </w:trPr>
        <w:tc>
          <w:tcPr>
            <w:tcW w:w="8522" w:type="dxa"/>
          </w:tcPr>
          <w:p w14:paraId="1E65EE21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BA405D" w14:paraId="1E65EE24" w14:textId="77777777" w:rsidTr="7D154134">
        <w:trPr>
          <w:trHeight w:val="1156"/>
        </w:trPr>
        <w:tc>
          <w:tcPr>
            <w:tcW w:w="8522" w:type="dxa"/>
          </w:tcPr>
          <w:p w14:paraId="1E65EE23" w14:textId="53849E43" w:rsidR="00562854" w:rsidRPr="00BA405D" w:rsidRDefault="009B00CB" w:rsidP="00D05400">
            <w:r w:rsidRPr="009B00CB">
              <w:t xml:space="preserve">El cambio se implementa para </w:t>
            </w:r>
            <w:r w:rsidRPr="009B00CB">
              <w:rPr>
                <w:b/>
                <w:bCs/>
              </w:rPr>
              <w:t>reactivar la emisión de DTE asociados a gastos de cobranza y costos de recaudación</w:t>
            </w:r>
            <w:r w:rsidRPr="009B00CB">
              <w:t>, proceso requerido para respaldar tributariamente los cargos aplicados a los clientes cuando realizan pagos de cuotas u otras operaciones financieras.</w:t>
            </w:r>
            <w:r w:rsidRPr="009B00CB">
              <w:br/>
              <w:t xml:space="preserve">Esto permite mantener la </w:t>
            </w:r>
            <w:r w:rsidRPr="009B00CB">
              <w:rPr>
                <w:b/>
                <w:bCs/>
              </w:rPr>
              <w:t>correcta documentación tributaria de las operaciones</w:t>
            </w:r>
            <w:r w:rsidRPr="009B00CB">
              <w:t>, asegurar trazabilidad de los cargos aplicados y cumplir con las definiciones operacionales y regulatorias del negocio.</w:t>
            </w:r>
          </w:p>
        </w:tc>
      </w:tr>
    </w:tbl>
    <w:p w14:paraId="1E65EE25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BA405D" w14:paraId="1E65EE27" w14:textId="77777777" w:rsidTr="68A3F2E9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BA405D" w14:paraId="1E65EE2C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BA405D" w:rsidRDefault="00A0173C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BA405D" w:rsidRDefault="00A0173C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08714E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BA405D" w:rsidRDefault="0067700B"/>
        </w:tc>
      </w:tr>
      <w:tr w:rsidR="0067700B" w:rsidRPr="00BA405D" w14:paraId="1E65EE31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BA405D" w:rsidRDefault="0067700B"/>
        </w:tc>
        <w:tc>
          <w:tcPr>
            <w:tcW w:w="3039" w:type="dxa"/>
            <w:vAlign w:val="center"/>
          </w:tcPr>
          <w:p w14:paraId="1E65EE2E" w14:textId="77777777" w:rsidR="0067700B" w:rsidRPr="00BA405D" w:rsidRDefault="00A0173C">
            <w:r w:rsidRPr="00BA405D">
              <w:t>Alto</w:t>
            </w:r>
          </w:p>
        </w:tc>
        <w:tc>
          <w:tcPr>
            <w:tcW w:w="1222" w:type="dxa"/>
            <w:vAlign w:val="center"/>
          </w:tcPr>
          <w:p w14:paraId="1E65EE2F" w14:textId="6939B2C3" w:rsidR="0067700B" w:rsidRPr="00BA405D" w:rsidRDefault="00A0173C">
            <w:r w:rsidRPr="00BA405D">
              <w:t>__</w:t>
            </w:r>
            <w:r w:rsidR="001A4939" w:rsidRPr="00BA405D">
              <w:t>X</w:t>
            </w:r>
            <w:r w:rsidR="00146817" w:rsidRPr="00BA405D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BA405D" w:rsidRDefault="0067700B"/>
        </w:tc>
      </w:tr>
      <w:tr w:rsidR="0067700B" w:rsidRPr="00BA405D" w14:paraId="1E65EE36" w14:textId="77777777" w:rsidTr="68A3F2E9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3" w14:textId="77777777" w:rsidR="0067700B" w:rsidRPr="00BA405D" w:rsidRDefault="00A0173C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BA405D" w:rsidRDefault="0067700B"/>
        </w:tc>
      </w:tr>
      <w:tr w:rsidR="0067700B" w:rsidRPr="00BA405D" w14:paraId="1E65EE3B" w14:textId="77777777" w:rsidTr="68A3F2E9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8" w14:textId="77777777" w:rsidR="0067700B" w:rsidRPr="00BA405D" w:rsidRDefault="00A0173C">
            <w:r w:rsidRPr="00BA405D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BA405D" w:rsidRDefault="0067700B"/>
        </w:tc>
      </w:tr>
    </w:tbl>
    <w:p w14:paraId="1E65EE3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BA405D" w14:paraId="1E65EE3E" w14:textId="77777777" w:rsidTr="5669D815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BA405D" w14:paraId="1E65EE40" w14:textId="77777777" w:rsidTr="5669D815">
        <w:tc>
          <w:tcPr>
            <w:tcW w:w="0" w:type="auto"/>
            <w:gridSpan w:val="3"/>
          </w:tcPr>
          <w:p w14:paraId="1E65EE3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BA405D" w14:paraId="1E65EE44" w14:textId="77777777" w:rsidTr="5669D815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BA405D" w:rsidRDefault="00A0173C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14:paraId="1E65EE42" w14:textId="1128C942" w:rsidR="0067700B" w:rsidRPr="00BA405D" w:rsidRDefault="00A0173C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BA405D" w:rsidRDefault="00A0173C">
            <w:r w:rsidRPr="00BA405D">
              <w:t>____ Sistema operativo</w:t>
            </w:r>
          </w:p>
        </w:tc>
      </w:tr>
      <w:tr w:rsidR="0067700B" w:rsidRPr="00BA405D" w14:paraId="1E65EE48" w14:textId="77777777" w:rsidTr="5669D815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BA405D" w:rsidRDefault="00A0173C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0F8F9BC" w:rsidR="0067700B" w:rsidRPr="00BA405D" w:rsidRDefault="00A0173C">
            <w:r w:rsidRPr="00BA405D">
              <w:t>_</w:t>
            </w:r>
            <w:r w:rsidR="6CF4B5B7" w:rsidRPr="00BA405D">
              <w:t>X</w:t>
            </w:r>
            <w:r w:rsidRPr="00BA405D">
              <w:t>_</w:t>
            </w:r>
            <w:r w:rsidR="3F4E84BA" w:rsidRPr="00BA405D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58808549" w:rsidR="0067700B" w:rsidRPr="00BA405D" w:rsidRDefault="00A0173C">
            <w:r w:rsidRPr="00BA405D">
              <w:t>____ Seguridad</w:t>
            </w:r>
          </w:p>
        </w:tc>
      </w:tr>
      <w:tr w:rsidR="0067700B" w:rsidRPr="00BA405D" w14:paraId="1E65EE4C" w14:textId="77777777" w:rsidTr="5669D815">
        <w:trPr>
          <w:trHeight w:val="441"/>
        </w:trPr>
        <w:tc>
          <w:tcPr>
            <w:tcW w:w="3026" w:type="dxa"/>
            <w:vAlign w:val="center"/>
          </w:tcPr>
          <w:p w14:paraId="1E65EE49" w14:textId="0D3465DD" w:rsidR="0067700B" w:rsidRPr="00BA405D" w:rsidRDefault="00A0173C">
            <w:r w:rsidRPr="00BA405D">
              <w:t>__</w:t>
            </w:r>
            <w:r w:rsidR="00146817" w:rsidRPr="00BA405D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BA405D" w:rsidRDefault="00A0173C">
            <w:pPr>
              <w:ind w:left="100" w:hangingChars="50" w:hanging="10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BA405D" w:rsidRDefault="00A0173C">
            <w:r w:rsidRPr="00BA405D">
              <w:t>____ Procedimientos</w:t>
            </w:r>
          </w:p>
        </w:tc>
      </w:tr>
      <w:tr w:rsidR="0067700B" w:rsidRPr="00BA405D" w14:paraId="1E65EE50" w14:textId="77777777" w:rsidTr="5669D815">
        <w:trPr>
          <w:trHeight w:val="337"/>
        </w:trPr>
        <w:tc>
          <w:tcPr>
            <w:tcW w:w="3026" w:type="dxa"/>
          </w:tcPr>
          <w:p w14:paraId="1E65EE4D" w14:textId="77777777" w:rsidR="0067700B" w:rsidRPr="00BA405D" w:rsidRDefault="0067700B"/>
        </w:tc>
        <w:tc>
          <w:tcPr>
            <w:tcW w:w="2826" w:type="dxa"/>
          </w:tcPr>
          <w:p w14:paraId="1E65EE4E" w14:textId="77777777" w:rsidR="0067700B" w:rsidRPr="00BA405D" w:rsidRDefault="0067700B"/>
        </w:tc>
        <w:tc>
          <w:tcPr>
            <w:tcW w:w="2670" w:type="dxa"/>
          </w:tcPr>
          <w:p w14:paraId="1E65EE4F" w14:textId="77777777" w:rsidR="0067700B" w:rsidRPr="00BA405D" w:rsidRDefault="0067700B"/>
        </w:tc>
      </w:tr>
      <w:tr w:rsidR="0067700B" w:rsidRPr="00BA405D" w14:paraId="1E65EE53" w14:textId="77777777" w:rsidTr="5669D815">
        <w:trPr>
          <w:trHeight w:val="597"/>
        </w:trPr>
        <w:tc>
          <w:tcPr>
            <w:tcW w:w="3026" w:type="dxa"/>
          </w:tcPr>
          <w:p w14:paraId="1E65EE51" w14:textId="77777777" w:rsidR="0067700B" w:rsidRPr="00BA405D" w:rsidRDefault="00A0173C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E348370" w:rsidR="0067700B" w:rsidRPr="00BA405D" w:rsidRDefault="0067700B"/>
        </w:tc>
      </w:tr>
    </w:tbl>
    <w:p w14:paraId="1E65EE54" w14:textId="208FE7FF" w:rsidR="0067700B" w:rsidRPr="00BA405D" w:rsidRDefault="00146817">
      <w:r w:rsidRPr="00BA405D">
        <w:lastRenderedPageBreak/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57" w14:textId="77777777" w:rsidTr="68A3F2E9">
        <w:tc>
          <w:tcPr>
            <w:tcW w:w="8522" w:type="dxa"/>
            <w:shd w:val="clear" w:color="auto" w:fill="005CB8"/>
          </w:tcPr>
          <w:p w14:paraId="1E65EE5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BA405D" w14:paraId="1E65EE59" w14:textId="77777777" w:rsidTr="68A3F2E9">
        <w:trPr>
          <w:trHeight w:val="259"/>
        </w:trPr>
        <w:tc>
          <w:tcPr>
            <w:tcW w:w="8522" w:type="dxa"/>
          </w:tcPr>
          <w:p w14:paraId="1E65EE58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BA405D" w14:paraId="1E65EE5B" w14:textId="77777777" w:rsidTr="68A3F2E9">
        <w:trPr>
          <w:trHeight w:val="1251"/>
        </w:trPr>
        <w:tc>
          <w:tcPr>
            <w:tcW w:w="8522" w:type="dxa"/>
          </w:tcPr>
          <w:p w14:paraId="1E65EE5A" w14:textId="520E0552" w:rsidR="0067700B" w:rsidRPr="00BA405D" w:rsidRDefault="009B00CB">
            <w:r w:rsidRPr="009B00CB">
              <w:t xml:space="preserve">La implementación no genera cambios en la operación diaria ni requiere </w:t>
            </w:r>
            <w:r w:rsidRPr="009B00CB">
              <w:rPr>
                <w:b/>
                <w:bCs/>
              </w:rPr>
              <w:t>actividades manuales adicionales permanentes</w:t>
            </w:r>
            <w:r w:rsidRPr="009B00CB">
              <w:t xml:space="preserve"> por parte del personal.</w:t>
            </w:r>
            <w:r w:rsidRPr="009B00CB">
              <w:br/>
              <w:t xml:space="preserve">El proceso se ejecutará de manera </w:t>
            </w:r>
            <w:r w:rsidRPr="009B00CB">
              <w:rPr>
                <w:b/>
                <w:bCs/>
              </w:rPr>
              <w:t xml:space="preserve">automatizada a nivel </w:t>
            </w:r>
            <w:proofErr w:type="spellStart"/>
            <w:r w:rsidRPr="009B00CB">
              <w:rPr>
                <w:b/>
                <w:bCs/>
              </w:rPr>
              <w:t>backend</w:t>
            </w:r>
            <w:proofErr w:type="spellEnd"/>
            <w:r w:rsidRPr="009B00CB">
              <w:t>, manteniendo los flujos operacionales actuales.</w:t>
            </w:r>
          </w:p>
        </w:tc>
      </w:tr>
    </w:tbl>
    <w:p w14:paraId="1E65EE5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739"/>
        <w:gridCol w:w="3969"/>
        <w:gridCol w:w="992"/>
        <w:gridCol w:w="930"/>
      </w:tblGrid>
      <w:tr w:rsidR="0067700B" w:rsidRPr="00BA405D" w14:paraId="1E65EE5E" w14:textId="77777777" w:rsidTr="000E1149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BA405D" w14:paraId="1E65EE65" w14:textId="77777777" w:rsidTr="00B47DEC">
        <w:tc>
          <w:tcPr>
            <w:tcW w:w="666" w:type="dxa"/>
          </w:tcPr>
          <w:p w14:paraId="1E65EE5F" w14:textId="77777777" w:rsidR="0067700B" w:rsidRPr="00BA405D" w:rsidRDefault="00A0173C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739" w:type="dxa"/>
          </w:tcPr>
          <w:p w14:paraId="1E65EE60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3969" w:type="dxa"/>
          </w:tcPr>
          <w:p w14:paraId="1E65EE61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992" w:type="dxa"/>
          </w:tcPr>
          <w:p w14:paraId="1E65EE62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930" w:type="dxa"/>
          </w:tcPr>
          <w:p w14:paraId="1E65EE63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14:paraId="1E65EE6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="000E1149" w:rsidRPr="00BA405D" w14:paraId="1E65EE6B" w14:textId="77777777" w:rsidTr="00B47DEC">
        <w:tc>
          <w:tcPr>
            <w:tcW w:w="666" w:type="dxa"/>
          </w:tcPr>
          <w:p w14:paraId="1E65EE66" w14:textId="77777777" w:rsidR="000E1149" w:rsidRPr="00BA405D" w:rsidRDefault="000E1149" w:rsidP="000E1149">
            <w:r w:rsidRPr="00BA405D">
              <w:t>1</w:t>
            </w:r>
          </w:p>
        </w:tc>
        <w:tc>
          <w:tcPr>
            <w:tcW w:w="1739" w:type="dxa"/>
          </w:tcPr>
          <w:p w14:paraId="1E65EE67" w14:textId="5F6B6D1D" w:rsidR="000E1149" w:rsidRPr="00BA405D" w:rsidRDefault="00051355" w:rsidP="00B47DEC">
            <w:pPr>
              <w:jc w:val="left"/>
            </w:pPr>
            <w:r>
              <w:t xml:space="preserve">Monaco </w:t>
            </w:r>
            <w:r w:rsidR="00B47DEC">
              <w:t>Tesorería</w:t>
            </w:r>
          </w:p>
        </w:tc>
        <w:tc>
          <w:tcPr>
            <w:tcW w:w="3969" w:type="dxa"/>
          </w:tcPr>
          <w:p w14:paraId="1E65EE68" w14:textId="3A4E497C" w:rsidR="000E1149" w:rsidRPr="00BA405D" w:rsidRDefault="00051355" w:rsidP="000E1149">
            <w:r>
              <w:t xml:space="preserve">Se agrega nueva funcionalidad que se encargará de que en cada pago realizado se realice una llamada al nuevo api de </w:t>
            </w:r>
            <w:proofErr w:type="spellStart"/>
            <w:r>
              <w:t>Emision</w:t>
            </w:r>
            <w:proofErr w:type="spellEnd"/>
            <w:r>
              <w:t xml:space="preserve"> de DTE que se encargará de registrar en BDD los datos necesarios para emitir el DTE y en estado en el que este se encuentra.</w:t>
            </w:r>
          </w:p>
        </w:tc>
        <w:tc>
          <w:tcPr>
            <w:tcW w:w="992" w:type="dxa"/>
          </w:tcPr>
          <w:p w14:paraId="1E65EE69" w14:textId="444DB19C" w:rsidR="000E1149" w:rsidRPr="00BA405D" w:rsidRDefault="00051355" w:rsidP="000E1149">
            <w:r>
              <w:t>S</w:t>
            </w:r>
          </w:p>
        </w:tc>
        <w:tc>
          <w:tcPr>
            <w:tcW w:w="930" w:type="dxa"/>
          </w:tcPr>
          <w:p w14:paraId="1E65EE6A" w14:textId="73A3814A" w:rsidR="000E1149" w:rsidRPr="00BA405D" w:rsidRDefault="00051355" w:rsidP="000E1149">
            <w:pPr>
              <w:spacing w:line="259" w:lineRule="auto"/>
            </w:pPr>
            <w:r>
              <w:t>N</w:t>
            </w:r>
          </w:p>
        </w:tc>
      </w:tr>
      <w:tr w:rsidR="0067700B" w:rsidRPr="00BA405D" w14:paraId="1E65EE71" w14:textId="77777777" w:rsidTr="00B47DEC">
        <w:tc>
          <w:tcPr>
            <w:tcW w:w="666" w:type="dxa"/>
          </w:tcPr>
          <w:p w14:paraId="1E65EE6C" w14:textId="77777777" w:rsidR="0067700B" w:rsidRPr="00BA405D" w:rsidRDefault="00A0173C">
            <w:r w:rsidRPr="00BA405D">
              <w:t>2</w:t>
            </w:r>
          </w:p>
        </w:tc>
        <w:tc>
          <w:tcPr>
            <w:tcW w:w="1739" w:type="dxa"/>
          </w:tcPr>
          <w:p w14:paraId="1E65EE6D" w14:textId="209C594C" w:rsidR="0067700B" w:rsidRPr="00BA405D" w:rsidRDefault="00051355" w:rsidP="00B47DEC">
            <w:pPr>
              <w:jc w:val="left"/>
            </w:pPr>
            <w:r>
              <w:t xml:space="preserve">Api </w:t>
            </w:r>
            <w:proofErr w:type="spellStart"/>
            <w:r w:rsidRPr="00051355">
              <w:t>Facturacion</w:t>
            </w:r>
            <w:proofErr w:type="spellEnd"/>
            <w:r w:rsidRPr="00051355">
              <w:t>-Gastos-Cobranza-</w:t>
            </w:r>
            <w:proofErr w:type="spellStart"/>
            <w:r w:rsidRPr="00051355">
              <w:t>Golang</w:t>
            </w:r>
            <w:proofErr w:type="spellEnd"/>
          </w:p>
        </w:tc>
        <w:tc>
          <w:tcPr>
            <w:tcW w:w="3969" w:type="dxa"/>
          </w:tcPr>
          <w:p w14:paraId="1E65EE6E" w14:textId="4EC9AB33" w:rsidR="0067700B" w:rsidRPr="00BA405D" w:rsidRDefault="00051355" w:rsidP="5669D815">
            <w:r>
              <w:t>Se modifican las URL productivas del proveedor.</w:t>
            </w:r>
          </w:p>
        </w:tc>
        <w:tc>
          <w:tcPr>
            <w:tcW w:w="992" w:type="dxa"/>
          </w:tcPr>
          <w:p w14:paraId="1E65EE6F" w14:textId="29B9A2C3" w:rsidR="0067700B" w:rsidRPr="00BA405D" w:rsidRDefault="00051355">
            <w:r>
              <w:t>S</w:t>
            </w:r>
          </w:p>
        </w:tc>
        <w:tc>
          <w:tcPr>
            <w:tcW w:w="930" w:type="dxa"/>
          </w:tcPr>
          <w:p w14:paraId="1E65EE70" w14:textId="51A5E782" w:rsidR="0067700B" w:rsidRPr="00BA405D" w:rsidRDefault="00051355">
            <w:r>
              <w:t>N</w:t>
            </w:r>
          </w:p>
        </w:tc>
      </w:tr>
      <w:tr w:rsidR="5669D815" w:rsidRPr="00BA405D" w14:paraId="4832F355" w14:textId="77777777" w:rsidTr="00B47DEC">
        <w:trPr>
          <w:trHeight w:val="300"/>
        </w:trPr>
        <w:tc>
          <w:tcPr>
            <w:tcW w:w="666" w:type="dxa"/>
          </w:tcPr>
          <w:p w14:paraId="40043454" w14:textId="04FF6D16" w:rsidR="267A183C" w:rsidRPr="00BA405D" w:rsidRDefault="267A183C" w:rsidP="5669D815">
            <w:r w:rsidRPr="00BA405D">
              <w:t>3</w:t>
            </w:r>
          </w:p>
        </w:tc>
        <w:tc>
          <w:tcPr>
            <w:tcW w:w="1739" w:type="dxa"/>
          </w:tcPr>
          <w:p w14:paraId="4288D2B6" w14:textId="2A109FBA" w:rsidR="5669D815" w:rsidRPr="00BA405D" w:rsidRDefault="5669D815" w:rsidP="5669D815"/>
        </w:tc>
        <w:tc>
          <w:tcPr>
            <w:tcW w:w="3969" w:type="dxa"/>
          </w:tcPr>
          <w:p w14:paraId="77128D00" w14:textId="3DCBA0DB" w:rsidR="5669D815" w:rsidRPr="00BA405D" w:rsidRDefault="5669D815" w:rsidP="5669D815"/>
        </w:tc>
        <w:tc>
          <w:tcPr>
            <w:tcW w:w="992" w:type="dxa"/>
          </w:tcPr>
          <w:p w14:paraId="47E7CC44" w14:textId="20F1FC7A" w:rsidR="5669D815" w:rsidRPr="00BA405D" w:rsidRDefault="5669D815" w:rsidP="5669D815"/>
        </w:tc>
        <w:tc>
          <w:tcPr>
            <w:tcW w:w="930" w:type="dxa"/>
          </w:tcPr>
          <w:p w14:paraId="1C8A8F61" w14:textId="35733E4C" w:rsidR="5669D815" w:rsidRPr="00BA405D" w:rsidRDefault="5669D815" w:rsidP="5669D815"/>
        </w:tc>
      </w:tr>
      <w:tr w:rsidR="0067700B" w:rsidRPr="00BA405D" w14:paraId="1E65EE77" w14:textId="77777777" w:rsidTr="00B47DEC">
        <w:tc>
          <w:tcPr>
            <w:tcW w:w="666" w:type="dxa"/>
          </w:tcPr>
          <w:p w14:paraId="1E65EE72" w14:textId="77777777" w:rsidR="0067700B" w:rsidRPr="00BA405D" w:rsidRDefault="00A0173C">
            <w:r w:rsidRPr="00BA405D">
              <w:t>...</w:t>
            </w:r>
          </w:p>
        </w:tc>
        <w:tc>
          <w:tcPr>
            <w:tcW w:w="1739" w:type="dxa"/>
          </w:tcPr>
          <w:p w14:paraId="1E65EE73" w14:textId="77777777" w:rsidR="0067700B" w:rsidRPr="00BA405D" w:rsidRDefault="0067700B"/>
        </w:tc>
        <w:tc>
          <w:tcPr>
            <w:tcW w:w="3969" w:type="dxa"/>
          </w:tcPr>
          <w:p w14:paraId="1E65EE74" w14:textId="77777777" w:rsidR="0067700B" w:rsidRPr="00BA405D" w:rsidRDefault="0067700B"/>
        </w:tc>
        <w:tc>
          <w:tcPr>
            <w:tcW w:w="992" w:type="dxa"/>
          </w:tcPr>
          <w:p w14:paraId="1E65EE75" w14:textId="77777777" w:rsidR="0067700B" w:rsidRPr="00BA405D" w:rsidRDefault="0067700B"/>
        </w:tc>
        <w:tc>
          <w:tcPr>
            <w:tcW w:w="930" w:type="dxa"/>
          </w:tcPr>
          <w:p w14:paraId="1E65EE76" w14:textId="77777777" w:rsidR="0067700B" w:rsidRPr="00BA405D" w:rsidRDefault="0067700B"/>
        </w:tc>
      </w:tr>
    </w:tbl>
    <w:p w14:paraId="1E65EE78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BA405D" w14:paraId="1E65EE7B" w14:textId="77777777" w:rsidTr="000E1149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599" w:type="dxa"/>
            <w:shd w:val="clear" w:color="auto" w:fill="005CB8"/>
          </w:tcPr>
          <w:p w14:paraId="1E65EE7A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E7F" w14:textId="77777777" w:rsidTr="000E1149">
        <w:trPr>
          <w:trHeight w:val="215"/>
        </w:trPr>
        <w:tc>
          <w:tcPr>
            <w:tcW w:w="668" w:type="dxa"/>
          </w:tcPr>
          <w:p w14:paraId="1E65EE7C" w14:textId="77777777" w:rsidR="0067700B" w:rsidRPr="00BA405D" w:rsidRDefault="00A0173C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029" w:type="dxa"/>
          </w:tcPr>
          <w:p w14:paraId="1E65EE7D" w14:textId="1A99D4D1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="002E67EF" w:rsidRPr="00BA405D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599" w:type="dxa"/>
          </w:tcPr>
          <w:p w14:paraId="1E65EE7E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="000E1149" w:rsidRPr="00BA405D" w14:paraId="1E65EE83" w14:textId="77777777" w:rsidTr="000E1149">
        <w:trPr>
          <w:trHeight w:val="203"/>
        </w:trPr>
        <w:tc>
          <w:tcPr>
            <w:tcW w:w="668" w:type="dxa"/>
          </w:tcPr>
          <w:p w14:paraId="1E65EE80" w14:textId="77777777" w:rsidR="000E1149" w:rsidRPr="00BA405D" w:rsidRDefault="000E1149" w:rsidP="000E1149">
            <w:r w:rsidRPr="00BA405D">
              <w:t>1</w:t>
            </w:r>
          </w:p>
        </w:tc>
        <w:tc>
          <w:tcPr>
            <w:tcW w:w="4029" w:type="dxa"/>
          </w:tcPr>
          <w:p w14:paraId="1E65EE81" w14:textId="5D08681F" w:rsidR="000E1149" w:rsidRPr="00BA405D" w:rsidRDefault="00051355" w:rsidP="000E1149">
            <w:r>
              <w:t>Error al registrar pagos desde Monaco</w:t>
            </w:r>
          </w:p>
        </w:tc>
        <w:tc>
          <w:tcPr>
            <w:tcW w:w="3599" w:type="dxa"/>
          </w:tcPr>
          <w:p w14:paraId="1E65EE82" w14:textId="653338DF" w:rsidR="000E1149" w:rsidRPr="00BA405D" w:rsidRDefault="000E1149" w:rsidP="000E1149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7" w14:textId="77777777" w:rsidTr="000E1149">
        <w:tc>
          <w:tcPr>
            <w:tcW w:w="668" w:type="dxa"/>
          </w:tcPr>
          <w:p w14:paraId="1E65EE84" w14:textId="77777777" w:rsidR="0067700B" w:rsidRPr="00BA405D" w:rsidRDefault="00A0173C">
            <w:r w:rsidRPr="00BA405D">
              <w:t>2</w:t>
            </w:r>
          </w:p>
        </w:tc>
        <w:tc>
          <w:tcPr>
            <w:tcW w:w="4029" w:type="dxa"/>
          </w:tcPr>
          <w:p w14:paraId="1E65EE85" w14:textId="3D96AAA9" w:rsidR="005F735D" w:rsidRPr="00BA405D" w:rsidRDefault="005F735D" w:rsidP="5669D815"/>
        </w:tc>
        <w:tc>
          <w:tcPr>
            <w:tcW w:w="3599" w:type="dxa"/>
          </w:tcPr>
          <w:p w14:paraId="1E65EE86" w14:textId="1A6F5EDB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B" w14:textId="77777777" w:rsidTr="000E1149">
        <w:tc>
          <w:tcPr>
            <w:tcW w:w="668" w:type="dxa"/>
          </w:tcPr>
          <w:p w14:paraId="1E65EE88" w14:textId="77777777" w:rsidR="0067700B" w:rsidRPr="00BA405D" w:rsidRDefault="00A0173C">
            <w:r w:rsidRPr="00BA405D">
              <w:t>3</w:t>
            </w:r>
          </w:p>
        </w:tc>
        <w:tc>
          <w:tcPr>
            <w:tcW w:w="4029" w:type="dxa"/>
          </w:tcPr>
          <w:p w14:paraId="1E65EE89" w14:textId="3A2E98E3" w:rsidR="0067700B" w:rsidRPr="00BA405D" w:rsidRDefault="0067700B"/>
        </w:tc>
        <w:tc>
          <w:tcPr>
            <w:tcW w:w="3599" w:type="dxa"/>
          </w:tcPr>
          <w:p w14:paraId="1E65EE8A" w14:textId="1C2107A2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F" w14:textId="77777777" w:rsidTr="000E1149">
        <w:tc>
          <w:tcPr>
            <w:tcW w:w="668" w:type="dxa"/>
          </w:tcPr>
          <w:p w14:paraId="1E65EE8C" w14:textId="77777777" w:rsidR="0067700B" w:rsidRPr="00BA405D" w:rsidRDefault="00A0173C">
            <w:r w:rsidRPr="00BA405D">
              <w:t>...</w:t>
            </w:r>
          </w:p>
        </w:tc>
        <w:tc>
          <w:tcPr>
            <w:tcW w:w="4029" w:type="dxa"/>
          </w:tcPr>
          <w:p w14:paraId="1E65EE8D" w14:textId="77777777" w:rsidR="0067700B" w:rsidRPr="00BA405D" w:rsidRDefault="0067700B"/>
        </w:tc>
        <w:tc>
          <w:tcPr>
            <w:tcW w:w="3599" w:type="dxa"/>
          </w:tcPr>
          <w:p w14:paraId="1E65EE8E" w14:textId="77777777" w:rsidR="0067700B" w:rsidRPr="00BA405D" w:rsidRDefault="0067700B"/>
        </w:tc>
      </w:tr>
    </w:tbl>
    <w:p w14:paraId="1E65EE90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BA405D" w14:paraId="1E65EE92" w14:textId="77777777" w:rsidTr="341F5AA2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BA405D" w14:paraId="1E65EE95" w14:textId="77777777" w:rsidTr="341F5AA2">
        <w:tc>
          <w:tcPr>
            <w:tcW w:w="4261" w:type="dxa"/>
          </w:tcPr>
          <w:p w14:paraId="1E65EE93" w14:textId="1E9E2199" w:rsidR="0067700B" w:rsidRPr="00BA405D" w:rsidRDefault="00BB2562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="00EA137E" w:rsidRPr="00BA405D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="0067700B" w:rsidRPr="00BA405D" w14:paraId="1E65EE98" w14:textId="77777777" w:rsidTr="341F5AA2">
        <w:tc>
          <w:tcPr>
            <w:tcW w:w="4261" w:type="dxa"/>
          </w:tcPr>
          <w:p w14:paraId="1E65EE96" w14:textId="77777777" w:rsidR="0067700B" w:rsidRPr="00BA405D" w:rsidRDefault="00A0173C">
            <w:r w:rsidRPr="00BA405D">
              <w:t>Tiempo para ejecución del cambio:</w:t>
            </w:r>
          </w:p>
        </w:tc>
        <w:tc>
          <w:tcPr>
            <w:tcW w:w="4261" w:type="dxa"/>
          </w:tcPr>
          <w:p w14:paraId="1E65EE97" w14:textId="6E9AB7D1" w:rsidR="0067700B" w:rsidRPr="00BA405D" w:rsidRDefault="00B47DEC">
            <w:r>
              <w:t xml:space="preserve">2:00 </w:t>
            </w:r>
            <w:proofErr w:type="spellStart"/>
            <w:r>
              <w:t>hrs</w:t>
            </w:r>
            <w:proofErr w:type="spellEnd"/>
          </w:p>
        </w:tc>
      </w:tr>
      <w:tr w:rsidR="0067700B" w:rsidRPr="00BA405D" w14:paraId="1E65EE9B" w14:textId="77777777" w:rsidTr="341F5AA2">
        <w:tc>
          <w:tcPr>
            <w:tcW w:w="4261" w:type="dxa"/>
          </w:tcPr>
          <w:p w14:paraId="1E65EE99" w14:textId="77777777" w:rsidR="0067700B" w:rsidRPr="00BA405D" w:rsidRDefault="00A0173C">
            <w:r w:rsidRPr="00BA405D">
              <w:t>Tiempo para validación área que solicita:</w:t>
            </w:r>
          </w:p>
        </w:tc>
        <w:tc>
          <w:tcPr>
            <w:tcW w:w="4261" w:type="dxa"/>
          </w:tcPr>
          <w:p w14:paraId="1E65EE9A" w14:textId="3EBAEB40" w:rsidR="0067700B" w:rsidRPr="00BA405D" w:rsidRDefault="00B47DEC">
            <w:r>
              <w:t xml:space="preserve">2:00 </w:t>
            </w:r>
            <w:proofErr w:type="spellStart"/>
            <w:r>
              <w:t>hrs</w:t>
            </w:r>
            <w:proofErr w:type="spellEnd"/>
          </w:p>
        </w:tc>
      </w:tr>
      <w:tr w:rsidR="0067700B" w:rsidRPr="00BA405D" w14:paraId="1E65EE9E" w14:textId="77777777" w:rsidTr="341F5AA2">
        <w:tc>
          <w:tcPr>
            <w:tcW w:w="4261" w:type="dxa"/>
          </w:tcPr>
          <w:p w14:paraId="1E65EE9C" w14:textId="77777777" w:rsidR="0067700B" w:rsidRPr="00BA405D" w:rsidRDefault="00A0173C">
            <w:r w:rsidRPr="00BA405D">
              <w:t>Tiempo para vuelta atrás:</w:t>
            </w:r>
          </w:p>
        </w:tc>
        <w:tc>
          <w:tcPr>
            <w:tcW w:w="4261" w:type="dxa"/>
          </w:tcPr>
          <w:p w14:paraId="1E65EE9D" w14:textId="56921043" w:rsidR="0067700B" w:rsidRPr="00BA405D" w:rsidRDefault="00B47DEC">
            <w:r>
              <w:t xml:space="preserve">4:00 </w:t>
            </w:r>
            <w:proofErr w:type="spellStart"/>
            <w:r>
              <w:t>hrs</w:t>
            </w:r>
            <w:proofErr w:type="spellEnd"/>
          </w:p>
        </w:tc>
      </w:tr>
    </w:tbl>
    <w:p w14:paraId="1E65EE9F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A1" w14:textId="77777777" w:rsidTr="1CA65365">
        <w:tc>
          <w:tcPr>
            <w:tcW w:w="8522" w:type="dxa"/>
            <w:shd w:val="clear" w:color="auto" w:fill="005CB8"/>
          </w:tcPr>
          <w:p w14:paraId="1E65EEA0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BA405D" w14:paraId="1E65EEA3" w14:textId="77777777" w:rsidTr="1CA65365">
        <w:tc>
          <w:tcPr>
            <w:tcW w:w="8522" w:type="dxa"/>
          </w:tcPr>
          <w:p w14:paraId="1E65EEA2" w14:textId="1985D5B0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BA405D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="0067700B" w:rsidRPr="00BA405D" w14:paraId="1E65EEA6" w14:textId="77777777" w:rsidTr="1CA65365">
        <w:trPr>
          <w:trHeight w:val="203"/>
        </w:trPr>
        <w:tc>
          <w:tcPr>
            <w:tcW w:w="8522" w:type="dxa"/>
          </w:tcPr>
          <w:p w14:paraId="1E65EEA4" w14:textId="7C69A017" w:rsidR="0067700B" w:rsidRPr="00BA405D" w:rsidRDefault="00562854">
            <w:r>
              <w:t xml:space="preserve">En caso de </w:t>
            </w:r>
            <w:proofErr w:type="spellStart"/>
            <w:r>
              <w:t>rollback</w:t>
            </w:r>
            <w:proofErr w:type="spellEnd"/>
            <w:r>
              <w:t xml:space="preserve"> es necesario </w:t>
            </w:r>
            <w:r w:rsidR="00051355">
              <w:t xml:space="preserve">revertir </w:t>
            </w:r>
            <w:proofErr w:type="spellStart"/>
            <w:r w:rsidR="00051355">
              <w:t>pullrequest</w:t>
            </w:r>
            <w:proofErr w:type="spellEnd"/>
            <w:r w:rsidR="00051355">
              <w:t xml:space="preserve"> para</w:t>
            </w:r>
            <w:r>
              <w:t xml:space="preserve"> </w:t>
            </w:r>
            <w:r w:rsidR="00051355">
              <w:rPr>
                <w:b/>
                <w:bCs/>
              </w:rPr>
              <w:t xml:space="preserve">MACA-Back, ejecutar </w:t>
            </w:r>
            <w:proofErr w:type="spellStart"/>
            <w:r w:rsidR="00051355">
              <w:rPr>
                <w:b/>
                <w:bCs/>
              </w:rPr>
              <w:t>rollback</w:t>
            </w:r>
            <w:proofErr w:type="spellEnd"/>
            <w:r w:rsidR="00051355">
              <w:rPr>
                <w:b/>
                <w:bCs/>
              </w:rPr>
              <w:t xml:space="preserve"> enviados para los </w:t>
            </w:r>
            <w:proofErr w:type="gramStart"/>
            <w:r w:rsidR="00051355">
              <w:rPr>
                <w:b/>
                <w:bCs/>
              </w:rPr>
              <w:t>script ejecutados</w:t>
            </w:r>
            <w:proofErr w:type="gramEnd"/>
            <w:r w:rsidR="00051355">
              <w:rPr>
                <w:b/>
                <w:bCs/>
              </w:rPr>
              <w:t xml:space="preserve"> en </w:t>
            </w:r>
            <w:proofErr w:type="spellStart"/>
            <w:r w:rsidR="00051355">
              <w:rPr>
                <w:b/>
                <w:bCs/>
              </w:rPr>
              <w:t>bdd</w:t>
            </w:r>
            <w:proofErr w:type="spellEnd"/>
            <w:r w:rsidR="00051355">
              <w:rPr>
                <w:b/>
                <w:bCs/>
              </w:rPr>
              <w:t xml:space="preserve"> y realizar despliegues indicados para </w:t>
            </w:r>
            <w:proofErr w:type="spellStart"/>
            <w:r w:rsidR="00051355">
              <w:rPr>
                <w:b/>
                <w:bCs/>
              </w:rPr>
              <w:t>apis</w:t>
            </w:r>
            <w:proofErr w:type="spellEnd"/>
            <w:r w:rsidR="00051355">
              <w:rPr>
                <w:b/>
                <w:bCs/>
              </w:rPr>
              <w:t xml:space="preserve"> de </w:t>
            </w:r>
            <w:proofErr w:type="spellStart"/>
            <w:r w:rsidR="00051355">
              <w:rPr>
                <w:b/>
                <w:bCs/>
              </w:rPr>
              <w:t>emision</w:t>
            </w:r>
            <w:proofErr w:type="spellEnd"/>
            <w:r>
              <w:t>, mayor detalle se encuentra en documento PAP</w:t>
            </w:r>
            <w:r w:rsidR="19D12F31" w:rsidRPr="00BA405D">
              <w:t>.</w:t>
            </w:r>
          </w:p>
          <w:p w14:paraId="1E65EEA5" w14:textId="77777777" w:rsidR="0067700B" w:rsidRPr="00BA405D" w:rsidRDefault="0067700B"/>
        </w:tc>
      </w:tr>
    </w:tbl>
    <w:p w14:paraId="1E65EEE9" w14:textId="1C9882A2" w:rsidR="0067700B" w:rsidRPr="00BA405D" w:rsidRDefault="0067700B" w:rsidP="1CA65365"/>
    <w:p w14:paraId="7BB3BD9A" w14:textId="5F33332A" w:rsidR="00884BCD" w:rsidRPr="00BA405D" w:rsidRDefault="00884BCD">
      <w:r w:rsidRPr="00BA405D">
        <w:br w:type="page"/>
      </w:r>
    </w:p>
    <w:p w14:paraId="252D8AD1" w14:textId="77777777" w:rsidR="00884BCD" w:rsidRPr="00BA405D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BA405D" w14:paraId="1E65EEEB" w14:textId="77777777" w:rsidTr="53052F0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BA405D" w14:paraId="1E65EEEE" w14:textId="77777777" w:rsidTr="53052F07">
        <w:tc>
          <w:tcPr>
            <w:tcW w:w="2565" w:type="dxa"/>
          </w:tcPr>
          <w:p w14:paraId="1E65EEEC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577C39B7" w:rsidR="0067700B" w:rsidRPr="00BA405D" w:rsidRDefault="0075405B">
            <w:r>
              <w:t>Nayp Marambio</w:t>
            </w:r>
          </w:p>
        </w:tc>
      </w:tr>
      <w:tr w:rsidR="0067700B" w:rsidRPr="00BA405D" w14:paraId="1E65EEF1" w14:textId="77777777" w:rsidTr="53052F07">
        <w:tc>
          <w:tcPr>
            <w:tcW w:w="2565" w:type="dxa"/>
          </w:tcPr>
          <w:p w14:paraId="1E65EEE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61D0DBF2" w:rsidR="0067700B" w:rsidRPr="00BA405D" w:rsidRDefault="000C003D">
            <w:r>
              <w:t>06</w:t>
            </w:r>
            <w:r w:rsidR="00A0173C" w:rsidRPr="00BA405D">
              <w:t>-</w:t>
            </w:r>
            <w:r w:rsidR="00562854">
              <w:t>0</w:t>
            </w:r>
            <w:r>
              <w:t>3</w:t>
            </w:r>
            <w:r w:rsidR="00A0173C" w:rsidRPr="00BA405D">
              <w:t>-</w:t>
            </w:r>
            <w:r w:rsidR="759BF86C" w:rsidRPr="00BA405D">
              <w:t>202</w:t>
            </w:r>
            <w:r w:rsidR="000E1149">
              <w:t>6</w:t>
            </w:r>
          </w:p>
        </w:tc>
      </w:tr>
    </w:tbl>
    <w:p w14:paraId="584C3770" w14:textId="77777777" w:rsidR="00884BCD" w:rsidRPr="00BA405D" w:rsidRDefault="00884BCD"/>
    <w:p w14:paraId="1E65EF29" w14:textId="77777777" w:rsidR="0067700B" w:rsidRPr="00BA405D" w:rsidRDefault="0067700B">
      <w:pPr>
        <w:jc w:val="both"/>
      </w:pPr>
    </w:p>
    <w:p w14:paraId="1E65EF2A" w14:textId="7309F29F" w:rsidR="0067700B" w:rsidRPr="00BA405D" w:rsidRDefault="00A0173C">
      <w:pPr>
        <w:jc w:val="both"/>
      </w:pPr>
      <w:r w:rsidRPr="00BA405D">
        <w:t>Se adjunta evidencia</w:t>
      </w:r>
      <w:r w:rsidR="00EF7EC7" w:rsidRPr="00BA405D">
        <w:t xml:space="preserve"> de las pruebas de carga</w:t>
      </w:r>
      <w:r w:rsidRPr="00BA405D">
        <w:t>:  SI _____       NO __</w:t>
      </w:r>
      <w:r w:rsidR="0A8E48BC" w:rsidRPr="00BA405D">
        <w:t>X</w:t>
      </w:r>
      <w:r w:rsidRPr="00BA405D">
        <w:t>___</w:t>
      </w:r>
    </w:p>
    <w:p w14:paraId="1E65EF2C" w14:textId="311C0CD0" w:rsidR="0067700B" w:rsidRPr="00BA405D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BA40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BA405D" w14:paraId="14F4852D" w14:textId="77777777" w:rsidTr="341F5AA2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BA405D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BA405D" w14:paraId="74A29871" w14:textId="77777777" w:rsidTr="341F5AA2">
        <w:trPr>
          <w:trHeight w:val="215"/>
        </w:trPr>
        <w:tc>
          <w:tcPr>
            <w:tcW w:w="2189" w:type="dxa"/>
          </w:tcPr>
          <w:p w14:paraId="03A5D8DB" w14:textId="3ACEB430" w:rsidR="003B370F" w:rsidRPr="00BA405D" w:rsidRDefault="003B370F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36408ED2" w:rsidR="003B370F" w:rsidRPr="00BA405D" w:rsidRDefault="003644D6" w:rsidP="00AA47D3">
            <w:pPr>
              <w:jc w:val="center"/>
            </w:pPr>
            <w:r>
              <w:t>23</w:t>
            </w:r>
            <w:r w:rsidR="5F5B9555" w:rsidRPr="00BA405D">
              <w:t>-</w:t>
            </w:r>
            <w:r w:rsidR="007C48D0">
              <w:t>03</w:t>
            </w:r>
            <w:r w:rsidR="5F5B9555" w:rsidRPr="00BA405D">
              <w:t>-</w:t>
            </w:r>
            <w:r w:rsidR="68C8DCB4" w:rsidRPr="00BA405D">
              <w:t>2025</w:t>
            </w:r>
          </w:p>
        </w:tc>
        <w:tc>
          <w:tcPr>
            <w:tcW w:w="1750" w:type="dxa"/>
          </w:tcPr>
          <w:p w14:paraId="331AE766" w14:textId="76216296" w:rsidR="003B370F" w:rsidRPr="00BA405D" w:rsidRDefault="00024263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D669D2" w:rsidR="003B370F" w:rsidRPr="00BA405D" w:rsidRDefault="009316C8" w:rsidP="00AA47D3">
            <w:pPr>
              <w:jc w:val="center"/>
            </w:pPr>
            <w:r w:rsidRPr="00BA405D">
              <w:t>21</w:t>
            </w:r>
            <w:r w:rsidR="00B40E3D" w:rsidRPr="00BA405D">
              <w:t>:</w:t>
            </w:r>
            <w:r w:rsidRPr="00BA405D">
              <w:t>00</w:t>
            </w:r>
            <w:r w:rsidR="00B40E3D" w:rsidRPr="00BA405D">
              <w:t xml:space="preserve"> </w:t>
            </w:r>
          </w:p>
        </w:tc>
      </w:tr>
    </w:tbl>
    <w:p w14:paraId="283A4D11" w14:textId="77777777" w:rsidR="003B370F" w:rsidRPr="00BA405D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BA405D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BA405D" w:rsidRDefault="0067700B">
      <w:pPr>
        <w:jc w:val="both"/>
      </w:pPr>
    </w:p>
    <w:p w14:paraId="2CF48B76" w14:textId="77777777" w:rsidR="00884BCD" w:rsidRPr="00BA405D" w:rsidRDefault="00884BCD">
      <w:pPr>
        <w:jc w:val="both"/>
      </w:pPr>
    </w:p>
    <w:p w14:paraId="1E65EF2E" w14:textId="77777777" w:rsidR="0067700B" w:rsidRPr="00BA405D" w:rsidRDefault="00A0173C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BA405D" w:rsidRDefault="0067700B">
      <w:pPr>
        <w:jc w:val="both"/>
      </w:pPr>
    </w:p>
    <w:p w14:paraId="047AB132" w14:textId="77777777" w:rsidR="00884BCD" w:rsidRPr="00BA405D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BA405D" w:rsidRDefault="00A0173C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BA405D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BA405D" w:rsidRDefault="0067700B"/>
        </w:tc>
      </w:tr>
    </w:tbl>
    <w:p w14:paraId="1E65EF35" w14:textId="2544505E" w:rsidR="0067700B" w:rsidRPr="00BA405D" w:rsidRDefault="0067700B"/>
    <w:p w14:paraId="4352C983" w14:textId="0EC5D54F" w:rsidR="002664D3" w:rsidRPr="00BA405D" w:rsidRDefault="002664D3" w:rsidP="002664D3">
      <w:pPr>
        <w:rPr>
          <w:b/>
          <w:bCs/>
        </w:rPr>
      </w:pPr>
      <w:r w:rsidRPr="00BA405D">
        <w:rPr>
          <w:b/>
          <w:bCs/>
        </w:rPr>
        <w:t>Nivel de riesgo</w:t>
      </w:r>
      <w:r w:rsidR="00C90430" w:rsidRPr="00BA405D">
        <w:rPr>
          <w:b/>
          <w:bCs/>
        </w:rPr>
        <w:t xml:space="preserve"> asignado:</w:t>
      </w:r>
    </w:p>
    <w:p w14:paraId="5694F4FE" w14:textId="77777777" w:rsidR="00C90430" w:rsidRPr="00BA405D" w:rsidRDefault="00C90430" w:rsidP="002664D3"/>
    <w:p w14:paraId="48CBDEB8" w14:textId="20C1C878" w:rsidR="002664D3" w:rsidRPr="00BA405D" w:rsidRDefault="00C90430">
      <w:r w:rsidRPr="00BA405D">
        <w:t>Alto:  _____</w:t>
      </w:r>
    </w:p>
    <w:p w14:paraId="7553726A" w14:textId="55F9F877" w:rsidR="00C90430" w:rsidRPr="00BA405D" w:rsidRDefault="00C90430">
      <w:r w:rsidRPr="00BA405D">
        <w:t>Medio: _____</w:t>
      </w:r>
    </w:p>
    <w:p w14:paraId="2D8164F3" w14:textId="2504A914" w:rsidR="00C90430" w:rsidRPr="00BA405D" w:rsidRDefault="00C90430">
      <w:r w:rsidRPr="00BA405D">
        <w:t>Bajo:  _____</w:t>
      </w:r>
    </w:p>
    <w:p w14:paraId="0E96CCF7" w14:textId="77777777" w:rsidR="00C90430" w:rsidRPr="00BA405D" w:rsidRDefault="00C90430"/>
    <w:p w14:paraId="1E65EF38" w14:textId="77777777" w:rsidR="0067700B" w:rsidRPr="00BA405D" w:rsidRDefault="00A0173C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14:paraId="1E65EF39" w14:textId="77777777" w:rsidR="0067700B" w:rsidRPr="00BA405D" w:rsidRDefault="0067700B">
      <w:pPr>
        <w:jc w:val="both"/>
      </w:pPr>
    </w:p>
    <w:p w14:paraId="1E65EF3A" w14:textId="1A449705" w:rsidR="0067700B" w:rsidRPr="00BA405D" w:rsidRDefault="00A0173C">
      <w:pPr>
        <w:jc w:val="both"/>
      </w:pPr>
      <w:r w:rsidRPr="00BA405D">
        <w:t>En base a los antecedentes presentados</w:t>
      </w:r>
      <w:r w:rsidR="002664D3" w:rsidRPr="00BA405D">
        <w:t xml:space="preserve">, </w:t>
      </w:r>
      <w:r w:rsidRPr="00BA405D">
        <w:t>la argumentación realizada</w:t>
      </w:r>
      <w:r w:rsidR="002664D3" w:rsidRPr="00BA405D">
        <w:t xml:space="preserve"> y el nivel de riesgo asignado</w:t>
      </w:r>
      <w:r w:rsidRPr="00BA405D">
        <w:t xml:space="preserve">, el </w:t>
      </w:r>
      <w:r w:rsidR="00884BCD" w:rsidRPr="00BA405D">
        <w:t>comité</w:t>
      </w:r>
      <w:r w:rsidRPr="00BA405D">
        <w:t xml:space="preserve"> asesor de cambios (CAB) </w:t>
      </w:r>
      <w:r w:rsidR="00884BCD" w:rsidRPr="00BA405D">
        <w:t>considera que</w:t>
      </w:r>
      <w:r w:rsidRPr="00BA405D">
        <w:t xml:space="preserve"> el paso a producción solicitado debe ser RECHAZADO/APROBADO.</w:t>
      </w:r>
    </w:p>
    <w:p w14:paraId="1E65EF3B" w14:textId="5CF1B417" w:rsidR="0067700B" w:rsidRPr="00BA405D" w:rsidRDefault="0067700B"/>
    <w:p w14:paraId="3F96B298" w14:textId="134E3BB3" w:rsidR="002664D3" w:rsidRPr="00BA405D" w:rsidRDefault="002664D3"/>
    <w:p w14:paraId="1E65EF3F" w14:textId="77777777" w:rsidR="0067700B" w:rsidRPr="00BA405D" w:rsidRDefault="0067700B"/>
    <w:p w14:paraId="1E65EF40" w14:textId="77777777" w:rsidR="0067700B" w:rsidRPr="009E4E70" w:rsidRDefault="00A0173C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3906" w14:textId="77777777" w:rsidR="00163EC7" w:rsidRPr="00BA405D" w:rsidRDefault="00163EC7">
      <w:r w:rsidRPr="00BA405D">
        <w:separator/>
      </w:r>
    </w:p>
  </w:endnote>
  <w:endnote w:type="continuationSeparator" w:id="0">
    <w:p w14:paraId="75382F74" w14:textId="77777777" w:rsidR="00163EC7" w:rsidRPr="00BA405D" w:rsidRDefault="00163EC7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BA405D" w:rsidRDefault="00E567CC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A405D" w:rsidRDefault="00E567CC" w:rsidP="00E567CC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9EBD" w14:textId="77777777" w:rsidR="00163EC7" w:rsidRPr="00BA405D" w:rsidRDefault="00163EC7">
      <w:r w:rsidRPr="00BA405D">
        <w:separator/>
      </w:r>
    </w:p>
  </w:footnote>
  <w:footnote w:type="continuationSeparator" w:id="0">
    <w:p w14:paraId="705EC6B2" w14:textId="77777777" w:rsidR="00163EC7" w:rsidRPr="00BA405D" w:rsidRDefault="00163EC7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BA405D" w:rsidRDefault="00A0173C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BA405D" w:rsidRDefault="0067700B">
    <w:pPr>
      <w:pStyle w:val="Encabezado"/>
    </w:pPr>
  </w:p>
  <w:p w14:paraId="1E65EF43" w14:textId="77777777" w:rsidR="0067700B" w:rsidRPr="00BA405D" w:rsidRDefault="00A0173C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253">
    <w:abstractNumId w:val="1"/>
  </w:num>
  <w:num w:numId="2" w16cid:durableId="15419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51355"/>
    <w:rsid w:val="00057772"/>
    <w:rsid w:val="000643B5"/>
    <w:rsid w:val="000A3A92"/>
    <w:rsid w:val="000B21CF"/>
    <w:rsid w:val="000C003D"/>
    <w:rsid w:val="000D0DF0"/>
    <w:rsid w:val="000E1149"/>
    <w:rsid w:val="000E6AEE"/>
    <w:rsid w:val="00127212"/>
    <w:rsid w:val="00146817"/>
    <w:rsid w:val="00163EC7"/>
    <w:rsid w:val="00182EE8"/>
    <w:rsid w:val="00185216"/>
    <w:rsid w:val="00186E09"/>
    <w:rsid w:val="001A4939"/>
    <w:rsid w:val="001B53A9"/>
    <w:rsid w:val="001C0765"/>
    <w:rsid w:val="001E7F0F"/>
    <w:rsid w:val="001F2C24"/>
    <w:rsid w:val="002368DC"/>
    <w:rsid w:val="00237B46"/>
    <w:rsid w:val="00257A63"/>
    <w:rsid w:val="002664D3"/>
    <w:rsid w:val="002B3916"/>
    <w:rsid w:val="002D1A61"/>
    <w:rsid w:val="002D479D"/>
    <w:rsid w:val="002D7DAC"/>
    <w:rsid w:val="002E67EF"/>
    <w:rsid w:val="00310AB1"/>
    <w:rsid w:val="003644D6"/>
    <w:rsid w:val="00386F9B"/>
    <w:rsid w:val="003B370F"/>
    <w:rsid w:val="003D4397"/>
    <w:rsid w:val="003D5819"/>
    <w:rsid w:val="00433305"/>
    <w:rsid w:val="00462680"/>
    <w:rsid w:val="0053560E"/>
    <w:rsid w:val="00555C8A"/>
    <w:rsid w:val="005561FA"/>
    <w:rsid w:val="00562854"/>
    <w:rsid w:val="00581C4B"/>
    <w:rsid w:val="005F735D"/>
    <w:rsid w:val="00606DCF"/>
    <w:rsid w:val="00631BF8"/>
    <w:rsid w:val="0067700B"/>
    <w:rsid w:val="00685889"/>
    <w:rsid w:val="006B642D"/>
    <w:rsid w:val="0075405B"/>
    <w:rsid w:val="007629EB"/>
    <w:rsid w:val="0078380A"/>
    <w:rsid w:val="00786C01"/>
    <w:rsid w:val="00794386"/>
    <w:rsid w:val="007C2773"/>
    <w:rsid w:val="007C469A"/>
    <w:rsid w:val="007C48D0"/>
    <w:rsid w:val="007F51C0"/>
    <w:rsid w:val="008230E4"/>
    <w:rsid w:val="0084041E"/>
    <w:rsid w:val="00846DAC"/>
    <w:rsid w:val="00881A09"/>
    <w:rsid w:val="00884BCD"/>
    <w:rsid w:val="008B7BBA"/>
    <w:rsid w:val="008C09FA"/>
    <w:rsid w:val="0092191B"/>
    <w:rsid w:val="009316C8"/>
    <w:rsid w:val="009367D7"/>
    <w:rsid w:val="00946C29"/>
    <w:rsid w:val="009828E7"/>
    <w:rsid w:val="00992ACC"/>
    <w:rsid w:val="009B00CB"/>
    <w:rsid w:val="009B085D"/>
    <w:rsid w:val="009D15CD"/>
    <w:rsid w:val="009E4E70"/>
    <w:rsid w:val="00A0173C"/>
    <w:rsid w:val="00A02393"/>
    <w:rsid w:val="00A65DBC"/>
    <w:rsid w:val="00A72538"/>
    <w:rsid w:val="00A81D3A"/>
    <w:rsid w:val="00AC5008"/>
    <w:rsid w:val="00AD6425"/>
    <w:rsid w:val="00B2446A"/>
    <w:rsid w:val="00B40CC2"/>
    <w:rsid w:val="00B40E3D"/>
    <w:rsid w:val="00B47DEC"/>
    <w:rsid w:val="00B84712"/>
    <w:rsid w:val="00BA405D"/>
    <w:rsid w:val="00BB2562"/>
    <w:rsid w:val="00BC5AEC"/>
    <w:rsid w:val="00BE0FE6"/>
    <w:rsid w:val="00C334A6"/>
    <w:rsid w:val="00C71FD5"/>
    <w:rsid w:val="00C90430"/>
    <w:rsid w:val="00CB45A2"/>
    <w:rsid w:val="00CB4BF6"/>
    <w:rsid w:val="00CE1F9A"/>
    <w:rsid w:val="00CF59DF"/>
    <w:rsid w:val="00D05400"/>
    <w:rsid w:val="00D7360C"/>
    <w:rsid w:val="00D82505"/>
    <w:rsid w:val="00DB0347"/>
    <w:rsid w:val="00DE2150"/>
    <w:rsid w:val="00DE6252"/>
    <w:rsid w:val="00DF396E"/>
    <w:rsid w:val="00DF405C"/>
    <w:rsid w:val="00E567CC"/>
    <w:rsid w:val="00EA137E"/>
    <w:rsid w:val="00EA695A"/>
    <w:rsid w:val="00EB6D0B"/>
    <w:rsid w:val="00EF7EC7"/>
    <w:rsid w:val="00F33CF7"/>
    <w:rsid w:val="00F57334"/>
    <w:rsid w:val="00F946D9"/>
    <w:rsid w:val="00FA3630"/>
    <w:rsid w:val="00FD67AB"/>
    <w:rsid w:val="00FF44F1"/>
    <w:rsid w:val="00FF7D99"/>
    <w:rsid w:val="023EBC0F"/>
    <w:rsid w:val="023EC254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F5D5C7"/>
    <w:rsid w:val="076209A8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11C14372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5292B6"/>
    <w:rsid w:val="217E69CF"/>
    <w:rsid w:val="219AAFD3"/>
    <w:rsid w:val="21A83E9D"/>
    <w:rsid w:val="21AC1391"/>
    <w:rsid w:val="21FB9BAF"/>
    <w:rsid w:val="2276912B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8C232B1"/>
    <w:rsid w:val="2A3412C3"/>
    <w:rsid w:val="2AC8FA2B"/>
    <w:rsid w:val="2B3D772E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D02518"/>
    <w:rsid w:val="341F5AA2"/>
    <w:rsid w:val="344ED61A"/>
    <w:rsid w:val="348B7B72"/>
    <w:rsid w:val="351F04B5"/>
    <w:rsid w:val="3614D52D"/>
    <w:rsid w:val="37482657"/>
    <w:rsid w:val="376DB430"/>
    <w:rsid w:val="384B8457"/>
    <w:rsid w:val="38602C7B"/>
    <w:rsid w:val="39549B46"/>
    <w:rsid w:val="3AAD3B5B"/>
    <w:rsid w:val="3AFD834C"/>
    <w:rsid w:val="3B78F442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830059F"/>
    <w:rsid w:val="4958CA4F"/>
    <w:rsid w:val="499AD3D5"/>
    <w:rsid w:val="49E1060E"/>
    <w:rsid w:val="4AFB1AE1"/>
    <w:rsid w:val="4B3E2C5F"/>
    <w:rsid w:val="4B70C08B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D0478F"/>
    <w:rsid w:val="59EB7E1D"/>
    <w:rsid w:val="5A3AA080"/>
    <w:rsid w:val="5AB643C3"/>
    <w:rsid w:val="5AD3EE06"/>
    <w:rsid w:val="5B7EFBB9"/>
    <w:rsid w:val="5DAF0131"/>
    <w:rsid w:val="5E9953FF"/>
    <w:rsid w:val="5F0C8308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F231"/>
    <w:rsid w:val="6C7B29E1"/>
    <w:rsid w:val="6CB69F08"/>
    <w:rsid w:val="6CF4B5B7"/>
    <w:rsid w:val="6D11E7D8"/>
    <w:rsid w:val="6D73B26A"/>
    <w:rsid w:val="6EB394DE"/>
    <w:rsid w:val="6EFF7B97"/>
    <w:rsid w:val="6F555C5B"/>
    <w:rsid w:val="6FEBE964"/>
    <w:rsid w:val="6FFF3306"/>
    <w:rsid w:val="7122A7BB"/>
    <w:rsid w:val="71403B87"/>
    <w:rsid w:val="714A18C8"/>
    <w:rsid w:val="73748DDB"/>
    <w:rsid w:val="7456479D"/>
    <w:rsid w:val="74BFE5F0"/>
    <w:rsid w:val="7525BFE7"/>
    <w:rsid w:val="759BF86C"/>
    <w:rsid w:val="75E62024"/>
    <w:rsid w:val="75EDD970"/>
    <w:rsid w:val="761D8225"/>
    <w:rsid w:val="770B0B2D"/>
    <w:rsid w:val="7790A67F"/>
    <w:rsid w:val="77CD53C9"/>
    <w:rsid w:val="780F87B7"/>
    <w:rsid w:val="78C9936C"/>
    <w:rsid w:val="7A326380"/>
    <w:rsid w:val="7A359EE2"/>
    <w:rsid w:val="7A473A25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.bravo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on.ext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685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Alejandro Leon</cp:lastModifiedBy>
  <cp:revision>22</cp:revision>
  <dcterms:created xsi:type="dcterms:W3CDTF">2026-03-02T15:29:00Z</dcterms:created>
  <dcterms:modified xsi:type="dcterms:W3CDTF">2026-03-16T20:25:00Z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